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44" w:tblpY="-358"/>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88"/>
        <w:gridCol w:w="4276"/>
        <w:gridCol w:w="2744"/>
      </w:tblGrid>
      <w:tr w:rsidR="00F67C81" w:rsidRPr="005A214A" w14:paraId="28F19F9C" w14:textId="77777777">
        <w:trPr>
          <w:trHeight w:val="1605"/>
        </w:trPr>
        <w:tc>
          <w:tcPr>
            <w:tcW w:w="2988" w:type="dxa"/>
            <w:tcBorders>
              <w:top w:val="single" w:sz="6" w:space="0" w:color="auto"/>
              <w:left w:val="single" w:sz="6" w:space="0" w:color="auto"/>
              <w:bottom w:val="single" w:sz="6" w:space="0" w:color="auto"/>
              <w:right w:val="single" w:sz="6" w:space="0" w:color="auto"/>
            </w:tcBorders>
            <w:tcMar>
              <w:bottom w:w="28" w:type="dxa"/>
            </w:tcMar>
          </w:tcPr>
          <w:p w14:paraId="44355296" w14:textId="77777777" w:rsidR="00F67C81" w:rsidRPr="00AF79C9" w:rsidRDefault="00F67C81" w:rsidP="00D03ABB">
            <w:pPr>
              <w:pStyle w:val="a4"/>
              <w:tabs>
                <w:tab w:val="left" w:pos="10260"/>
              </w:tabs>
              <w:rPr>
                <w:rFonts w:ascii="Arial Narrow" w:hAnsi="Arial Narrow"/>
                <w:sz w:val="20"/>
                <w:szCs w:val="20"/>
                <w:lang w:val="uk-UA"/>
              </w:rPr>
            </w:pPr>
          </w:p>
          <w:p w14:paraId="4CAE2AD8" w14:textId="77777777" w:rsidR="00F67C81" w:rsidRPr="00AF79C9" w:rsidRDefault="009D6EAC" w:rsidP="00D03ABB">
            <w:pPr>
              <w:pStyle w:val="a4"/>
              <w:tabs>
                <w:tab w:val="left" w:pos="10260"/>
              </w:tabs>
              <w:rPr>
                <w:rFonts w:ascii="Arial Narrow" w:hAnsi="Arial Narrow"/>
                <w:sz w:val="20"/>
                <w:szCs w:val="20"/>
                <w:lang w:val="uk-UA"/>
              </w:rPr>
            </w:pPr>
            <w:r w:rsidRPr="00AF79C9">
              <w:rPr>
                <w:rFonts w:ascii="Arial Narrow" w:hAnsi="Arial Narrow"/>
                <w:sz w:val="20"/>
                <w:szCs w:val="20"/>
                <w:lang w:val="uk-UA"/>
              </w:rPr>
              <w:t>ТОВ „Стандарт-Рейтинг” (Украї</w:t>
            </w:r>
            <w:r w:rsidR="00F67C81" w:rsidRPr="00AF79C9">
              <w:rPr>
                <w:rFonts w:ascii="Arial Narrow" w:hAnsi="Arial Narrow"/>
                <w:sz w:val="20"/>
                <w:szCs w:val="20"/>
                <w:lang w:val="uk-UA"/>
              </w:rPr>
              <w:t>на)</w:t>
            </w:r>
          </w:p>
          <w:p w14:paraId="50AE7EF4" w14:textId="77777777" w:rsidR="00F67C81" w:rsidRPr="00AF79C9" w:rsidRDefault="00F67C81" w:rsidP="00D03ABB">
            <w:pPr>
              <w:rPr>
                <w:rFonts w:ascii="Arial Narrow" w:hAnsi="Arial Narrow"/>
                <w:sz w:val="20"/>
                <w:szCs w:val="20"/>
                <w:lang w:val="uk-UA"/>
              </w:rPr>
            </w:pPr>
            <w:r w:rsidRPr="00AF79C9">
              <w:rPr>
                <w:rFonts w:ascii="Arial Narrow" w:hAnsi="Arial Narrow"/>
                <w:sz w:val="20"/>
                <w:szCs w:val="20"/>
                <w:lang w:val="uk-UA"/>
              </w:rPr>
              <w:t xml:space="preserve">04071, Україна, м. Київ, </w:t>
            </w:r>
          </w:p>
          <w:p w14:paraId="5149325A" w14:textId="77777777" w:rsidR="00F67C81" w:rsidRPr="00AF79C9" w:rsidRDefault="00F67C81" w:rsidP="00D03ABB">
            <w:pPr>
              <w:rPr>
                <w:rFonts w:ascii="Arial Narrow" w:hAnsi="Arial Narrow"/>
                <w:sz w:val="20"/>
                <w:szCs w:val="20"/>
                <w:lang w:val="uk-UA"/>
              </w:rPr>
            </w:pPr>
            <w:r w:rsidRPr="00AF79C9">
              <w:rPr>
                <w:rFonts w:ascii="Arial Narrow" w:hAnsi="Arial Narrow"/>
                <w:sz w:val="20"/>
                <w:szCs w:val="20"/>
                <w:lang w:val="uk-UA"/>
              </w:rPr>
              <w:t xml:space="preserve">вул. Введенська 4, </w:t>
            </w:r>
          </w:p>
          <w:p w14:paraId="001D8D20" w14:textId="77777777" w:rsidR="00F67C81" w:rsidRPr="00AF79C9" w:rsidRDefault="00F67C81" w:rsidP="00D03ABB">
            <w:pPr>
              <w:pStyle w:val="a4"/>
              <w:tabs>
                <w:tab w:val="left" w:pos="10260"/>
              </w:tabs>
              <w:rPr>
                <w:rFonts w:ascii="Arial Narrow" w:hAnsi="Arial Narrow"/>
                <w:sz w:val="20"/>
                <w:szCs w:val="20"/>
                <w:lang w:val="uk-UA"/>
              </w:rPr>
            </w:pPr>
            <w:proofErr w:type="spellStart"/>
            <w:r w:rsidRPr="00AF79C9">
              <w:rPr>
                <w:rFonts w:ascii="Arial Narrow" w:hAnsi="Arial Narrow"/>
                <w:sz w:val="20"/>
                <w:szCs w:val="20"/>
                <w:lang w:val="uk-UA"/>
              </w:rPr>
              <w:t>тел</w:t>
            </w:r>
            <w:proofErr w:type="spellEnd"/>
            <w:r w:rsidRPr="00AF79C9">
              <w:rPr>
                <w:rFonts w:ascii="Arial Narrow" w:hAnsi="Arial Narrow"/>
                <w:sz w:val="20"/>
                <w:szCs w:val="20"/>
                <w:lang w:val="uk-UA"/>
              </w:rPr>
              <w:t>.    +38 /044/ 383-59-64</w:t>
            </w:r>
          </w:p>
          <w:p w14:paraId="08BBC3B8" w14:textId="77777777" w:rsidR="00F67C81" w:rsidRPr="00AF79C9" w:rsidRDefault="00F67C81" w:rsidP="00D03ABB">
            <w:pPr>
              <w:pStyle w:val="a4"/>
              <w:tabs>
                <w:tab w:val="left" w:pos="10260"/>
              </w:tabs>
              <w:rPr>
                <w:rFonts w:ascii="Arial Narrow" w:hAnsi="Arial Narrow"/>
                <w:sz w:val="20"/>
                <w:szCs w:val="20"/>
                <w:lang w:val="uk-UA"/>
              </w:rPr>
            </w:pPr>
            <w:r w:rsidRPr="00AF79C9">
              <w:rPr>
                <w:rFonts w:ascii="Arial Narrow" w:hAnsi="Arial Narrow"/>
                <w:sz w:val="20"/>
                <w:szCs w:val="20"/>
                <w:lang w:val="uk-UA"/>
              </w:rPr>
              <w:t>факс  +38 /044/ 383-27-50</w:t>
            </w:r>
          </w:p>
          <w:p w14:paraId="26501B13" w14:textId="77777777" w:rsidR="00F67C81" w:rsidRPr="00AF79C9" w:rsidRDefault="00F67C81" w:rsidP="00D03ABB">
            <w:pPr>
              <w:pStyle w:val="a4"/>
              <w:tabs>
                <w:tab w:val="left" w:pos="10260"/>
              </w:tabs>
              <w:rPr>
                <w:rFonts w:ascii="Arial Narrow" w:hAnsi="Arial Narrow"/>
                <w:sz w:val="20"/>
                <w:szCs w:val="20"/>
                <w:lang w:val="uk-UA"/>
              </w:rPr>
            </w:pPr>
          </w:p>
          <w:p w14:paraId="6A2B76B7" w14:textId="77777777" w:rsidR="00F67C81" w:rsidRPr="00AF79C9" w:rsidRDefault="00F67C81" w:rsidP="00D03ABB">
            <w:pPr>
              <w:pStyle w:val="a4"/>
              <w:tabs>
                <w:tab w:val="left" w:pos="10260"/>
              </w:tabs>
              <w:rPr>
                <w:rFonts w:ascii="Arial Narrow" w:hAnsi="Arial Narrow"/>
                <w:i/>
                <w:sz w:val="20"/>
                <w:szCs w:val="20"/>
                <w:lang w:val="uk-UA"/>
              </w:rPr>
            </w:pPr>
            <w:r w:rsidRPr="00AF79C9">
              <w:rPr>
                <w:rFonts w:ascii="Arial Narrow" w:hAnsi="Arial Narrow"/>
                <w:i/>
                <w:sz w:val="20"/>
                <w:szCs w:val="20"/>
                <w:lang w:val="uk-UA"/>
              </w:rPr>
              <w:t>http://www.standard-rating.</w:t>
            </w:r>
            <w:r w:rsidR="00DD6DB4" w:rsidRPr="00AF79C9">
              <w:rPr>
                <w:rFonts w:ascii="Arial Narrow" w:hAnsi="Arial Narrow"/>
                <w:i/>
                <w:sz w:val="20"/>
                <w:szCs w:val="20"/>
                <w:lang w:val="uk-UA"/>
              </w:rPr>
              <w:t>biz</w:t>
            </w:r>
            <w:r w:rsidRPr="00AF79C9">
              <w:rPr>
                <w:rFonts w:ascii="Arial Narrow" w:hAnsi="Arial Narrow"/>
                <w:i/>
                <w:sz w:val="20"/>
                <w:szCs w:val="20"/>
                <w:lang w:val="uk-UA"/>
              </w:rPr>
              <w:t>/</w:t>
            </w:r>
          </w:p>
        </w:tc>
        <w:tc>
          <w:tcPr>
            <w:tcW w:w="4276" w:type="dxa"/>
            <w:tcBorders>
              <w:top w:val="single" w:sz="6" w:space="0" w:color="auto"/>
              <w:left w:val="single" w:sz="6" w:space="0" w:color="auto"/>
              <w:bottom w:val="single" w:sz="6" w:space="0" w:color="auto"/>
              <w:right w:val="single" w:sz="6" w:space="0" w:color="auto"/>
            </w:tcBorders>
            <w:tcMar>
              <w:bottom w:w="28" w:type="dxa"/>
            </w:tcMar>
          </w:tcPr>
          <w:p w14:paraId="20763EBC" w14:textId="77777777" w:rsidR="00F67C81" w:rsidRPr="00AF79C9" w:rsidRDefault="00F67C81" w:rsidP="00D03ABB">
            <w:pPr>
              <w:rPr>
                <w:sz w:val="16"/>
                <w:szCs w:val="16"/>
                <w:lang w:val="uk-UA"/>
              </w:rPr>
            </w:pPr>
          </w:p>
          <w:p w14:paraId="735171D5" w14:textId="77777777" w:rsidR="00F67C81" w:rsidRPr="00AF79C9" w:rsidRDefault="00F67C81" w:rsidP="00D03ABB">
            <w:pPr>
              <w:jc w:val="center"/>
              <w:rPr>
                <w:sz w:val="16"/>
                <w:szCs w:val="16"/>
                <w:lang w:val="uk-UA"/>
              </w:rPr>
            </w:pPr>
          </w:p>
          <w:p w14:paraId="1688F9C8" w14:textId="77777777" w:rsidR="00F67C81" w:rsidRPr="00AF79C9" w:rsidRDefault="00817986" w:rsidP="00D03ABB">
            <w:pPr>
              <w:jc w:val="center"/>
              <w:rPr>
                <w:color w:val="333333"/>
                <w:sz w:val="16"/>
                <w:szCs w:val="16"/>
                <w:lang w:val="uk-UA"/>
              </w:rPr>
            </w:pPr>
            <w:r w:rsidRPr="00AF79C9">
              <w:rPr>
                <w:noProof/>
              </w:rPr>
              <w:drawing>
                <wp:inline distT="0" distB="0" distL="0" distR="0" wp14:anchorId="26423DCE" wp14:editId="5649D1F0">
                  <wp:extent cx="2400300" cy="565150"/>
                  <wp:effectExtent l="0" t="0" r="0" b="6350"/>
                  <wp:docPr id="1" name="Рисунок 1" descr="Logo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565150"/>
                          </a:xfrm>
                          <a:prstGeom prst="rect">
                            <a:avLst/>
                          </a:prstGeom>
                          <a:noFill/>
                          <a:ln>
                            <a:noFill/>
                          </a:ln>
                        </pic:spPr>
                      </pic:pic>
                    </a:graphicData>
                  </a:graphic>
                </wp:inline>
              </w:drawing>
            </w:r>
          </w:p>
          <w:p w14:paraId="1FE33BCF" w14:textId="77777777" w:rsidR="00F67C81" w:rsidRPr="00AF79C9" w:rsidRDefault="00F67C81" w:rsidP="00D03ABB">
            <w:pPr>
              <w:pStyle w:val="a4"/>
              <w:tabs>
                <w:tab w:val="left" w:pos="10260"/>
              </w:tabs>
              <w:rPr>
                <w:color w:val="333333"/>
                <w:sz w:val="16"/>
                <w:szCs w:val="16"/>
                <w:lang w:val="uk-UA"/>
              </w:rPr>
            </w:pPr>
          </w:p>
        </w:tc>
        <w:tc>
          <w:tcPr>
            <w:tcW w:w="2744" w:type="dxa"/>
            <w:tcBorders>
              <w:top w:val="single" w:sz="6" w:space="0" w:color="auto"/>
              <w:left w:val="single" w:sz="6" w:space="0" w:color="auto"/>
              <w:bottom w:val="single" w:sz="6" w:space="0" w:color="auto"/>
              <w:right w:val="single" w:sz="6" w:space="0" w:color="auto"/>
            </w:tcBorders>
            <w:tcMar>
              <w:bottom w:w="28" w:type="dxa"/>
            </w:tcMar>
          </w:tcPr>
          <w:p w14:paraId="6B7A38FB" w14:textId="77777777" w:rsidR="00F67C81" w:rsidRPr="00AF79C9" w:rsidRDefault="00F67C81" w:rsidP="00D03ABB">
            <w:pPr>
              <w:pStyle w:val="a4"/>
              <w:tabs>
                <w:tab w:val="left" w:pos="10260"/>
              </w:tabs>
              <w:rPr>
                <w:rFonts w:ascii="Arial Narrow" w:hAnsi="Arial Narrow"/>
                <w:sz w:val="20"/>
                <w:szCs w:val="20"/>
                <w:lang w:val="uk-UA"/>
              </w:rPr>
            </w:pPr>
          </w:p>
          <w:p w14:paraId="4AE8EBA5" w14:textId="77777777" w:rsidR="00F67C81" w:rsidRPr="00AF79C9" w:rsidRDefault="00F67C81" w:rsidP="00D03ABB">
            <w:pPr>
              <w:pStyle w:val="a4"/>
              <w:tabs>
                <w:tab w:val="left" w:pos="10260"/>
              </w:tabs>
              <w:rPr>
                <w:rFonts w:ascii="Arial Narrow" w:hAnsi="Arial Narrow"/>
                <w:sz w:val="20"/>
                <w:szCs w:val="20"/>
                <w:lang w:val="uk-UA"/>
              </w:rPr>
            </w:pPr>
            <w:r w:rsidRPr="00AF79C9">
              <w:rPr>
                <w:rFonts w:ascii="Arial Narrow" w:hAnsi="Arial Narrow"/>
                <w:sz w:val="20"/>
                <w:szCs w:val="20"/>
                <w:lang w:val="uk-UA"/>
              </w:rPr>
              <w:t>Standard-</w:t>
            </w:r>
            <w:proofErr w:type="spellStart"/>
            <w:r w:rsidRPr="00AF79C9">
              <w:rPr>
                <w:rFonts w:ascii="Arial Narrow" w:hAnsi="Arial Narrow"/>
                <w:sz w:val="20"/>
                <w:szCs w:val="20"/>
                <w:lang w:val="uk-UA"/>
              </w:rPr>
              <w:t>Rating</w:t>
            </w:r>
            <w:proofErr w:type="spellEnd"/>
            <w:r w:rsidRPr="00AF79C9">
              <w:rPr>
                <w:rFonts w:ascii="Arial Narrow" w:hAnsi="Arial Narrow"/>
                <w:sz w:val="20"/>
                <w:szCs w:val="20"/>
                <w:lang w:val="uk-UA"/>
              </w:rPr>
              <w:t xml:space="preserve"> (</w:t>
            </w:r>
            <w:proofErr w:type="spellStart"/>
            <w:r w:rsidRPr="00AF79C9">
              <w:rPr>
                <w:rFonts w:ascii="Arial Narrow" w:hAnsi="Arial Narrow"/>
                <w:sz w:val="20"/>
                <w:szCs w:val="20"/>
                <w:lang w:val="uk-UA"/>
              </w:rPr>
              <w:t>Ukraine</w:t>
            </w:r>
            <w:proofErr w:type="spellEnd"/>
            <w:r w:rsidRPr="00AF79C9">
              <w:rPr>
                <w:rFonts w:ascii="Arial Narrow" w:hAnsi="Arial Narrow"/>
                <w:sz w:val="20"/>
                <w:szCs w:val="20"/>
                <w:lang w:val="uk-UA"/>
              </w:rPr>
              <w:t>) LLC</w:t>
            </w:r>
          </w:p>
          <w:p w14:paraId="64A4F986" w14:textId="77777777" w:rsidR="00F67C81" w:rsidRPr="00AF79C9" w:rsidRDefault="00F67C81" w:rsidP="00D03ABB">
            <w:pPr>
              <w:pStyle w:val="a4"/>
              <w:tabs>
                <w:tab w:val="left" w:pos="10260"/>
              </w:tabs>
              <w:rPr>
                <w:rFonts w:ascii="Arial Narrow" w:hAnsi="Arial Narrow"/>
                <w:sz w:val="20"/>
                <w:szCs w:val="20"/>
                <w:lang w:val="uk-UA"/>
              </w:rPr>
            </w:pPr>
            <w:r w:rsidRPr="00AF79C9">
              <w:rPr>
                <w:rFonts w:ascii="Arial Narrow" w:hAnsi="Arial Narrow"/>
                <w:sz w:val="20"/>
                <w:szCs w:val="20"/>
                <w:lang w:val="uk-UA"/>
              </w:rPr>
              <w:t xml:space="preserve">04071, </w:t>
            </w:r>
            <w:proofErr w:type="spellStart"/>
            <w:r w:rsidRPr="00AF79C9">
              <w:rPr>
                <w:rFonts w:ascii="Arial Narrow" w:hAnsi="Arial Narrow"/>
                <w:sz w:val="20"/>
                <w:szCs w:val="20"/>
                <w:lang w:val="uk-UA"/>
              </w:rPr>
              <w:t>Ukraine</w:t>
            </w:r>
            <w:proofErr w:type="spellEnd"/>
            <w:r w:rsidRPr="00AF79C9">
              <w:rPr>
                <w:rFonts w:ascii="Arial Narrow" w:hAnsi="Arial Narrow"/>
                <w:sz w:val="20"/>
                <w:szCs w:val="20"/>
                <w:lang w:val="uk-UA"/>
              </w:rPr>
              <w:t xml:space="preserve">, </w:t>
            </w:r>
            <w:proofErr w:type="spellStart"/>
            <w:r w:rsidRPr="00AF79C9">
              <w:rPr>
                <w:rFonts w:ascii="Arial Narrow" w:hAnsi="Arial Narrow"/>
                <w:sz w:val="20"/>
                <w:szCs w:val="20"/>
                <w:lang w:val="uk-UA"/>
              </w:rPr>
              <w:t>Kyiv</w:t>
            </w:r>
            <w:proofErr w:type="spellEnd"/>
            <w:r w:rsidRPr="00AF79C9">
              <w:rPr>
                <w:rFonts w:ascii="Arial Narrow" w:hAnsi="Arial Narrow"/>
                <w:sz w:val="20"/>
                <w:szCs w:val="20"/>
                <w:lang w:val="uk-UA"/>
              </w:rPr>
              <w:t xml:space="preserve">, </w:t>
            </w:r>
          </w:p>
          <w:p w14:paraId="280568B1" w14:textId="77777777" w:rsidR="00F67C81" w:rsidRPr="00AF79C9" w:rsidRDefault="00F67C81" w:rsidP="00D03ABB">
            <w:pPr>
              <w:pStyle w:val="a4"/>
              <w:tabs>
                <w:tab w:val="left" w:pos="10260"/>
              </w:tabs>
              <w:rPr>
                <w:rFonts w:ascii="Arial Narrow" w:hAnsi="Arial Narrow"/>
                <w:sz w:val="20"/>
                <w:szCs w:val="20"/>
                <w:lang w:val="uk-UA"/>
              </w:rPr>
            </w:pPr>
            <w:proofErr w:type="spellStart"/>
            <w:r w:rsidRPr="00AF79C9">
              <w:rPr>
                <w:rFonts w:ascii="Arial Narrow" w:hAnsi="Arial Narrow"/>
                <w:sz w:val="20"/>
                <w:szCs w:val="20"/>
                <w:lang w:val="uk-UA"/>
              </w:rPr>
              <w:t>Vvedenska</w:t>
            </w:r>
            <w:proofErr w:type="spellEnd"/>
            <w:r w:rsidRPr="00AF79C9">
              <w:rPr>
                <w:rFonts w:ascii="Arial Narrow" w:hAnsi="Arial Narrow"/>
                <w:sz w:val="20"/>
                <w:szCs w:val="20"/>
                <w:lang w:val="uk-UA"/>
              </w:rPr>
              <w:t xml:space="preserve"> </w:t>
            </w:r>
            <w:proofErr w:type="spellStart"/>
            <w:r w:rsidRPr="00AF79C9">
              <w:rPr>
                <w:rFonts w:ascii="Arial Narrow" w:hAnsi="Arial Narrow"/>
                <w:sz w:val="20"/>
                <w:szCs w:val="20"/>
                <w:lang w:val="uk-UA"/>
              </w:rPr>
              <w:t>St</w:t>
            </w:r>
            <w:proofErr w:type="spellEnd"/>
            <w:r w:rsidRPr="00AF79C9">
              <w:rPr>
                <w:rFonts w:ascii="Arial Narrow" w:hAnsi="Arial Narrow"/>
                <w:sz w:val="20"/>
                <w:szCs w:val="20"/>
                <w:lang w:val="uk-UA"/>
              </w:rPr>
              <w:t>. 4,</w:t>
            </w:r>
          </w:p>
          <w:p w14:paraId="728E0E10" w14:textId="77777777" w:rsidR="00F67C81" w:rsidRPr="00AF79C9" w:rsidRDefault="00F67C81" w:rsidP="00D03ABB">
            <w:pPr>
              <w:pStyle w:val="a4"/>
              <w:tabs>
                <w:tab w:val="left" w:pos="10260"/>
              </w:tabs>
              <w:rPr>
                <w:rFonts w:ascii="Arial Narrow" w:hAnsi="Arial Narrow"/>
                <w:sz w:val="20"/>
                <w:szCs w:val="20"/>
                <w:lang w:val="uk-UA"/>
              </w:rPr>
            </w:pPr>
            <w:proofErr w:type="spellStart"/>
            <w:r w:rsidRPr="00AF79C9">
              <w:rPr>
                <w:rFonts w:ascii="Arial Narrow" w:hAnsi="Arial Narrow"/>
                <w:sz w:val="20"/>
                <w:szCs w:val="20"/>
                <w:lang w:val="uk-UA"/>
              </w:rPr>
              <w:t>tel</w:t>
            </w:r>
            <w:proofErr w:type="spellEnd"/>
            <w:r w:rsidRPr="00AF79C9">
              <w:rPr>
                <w:rFonts w:ascii="Arial Narrow" w:hAnsi="Arial Narrow"/>
                <w:sz w:val="20"/>
                <w:szCs w:val="20"/>
                <w:lang w:val="uk-UA"/>
              </w:rPr>
              <w:t>. +38 /044/ 383-59-64</w:t>
            </w:r>
          </w:p>
          <w:p w14:paraId="4EBE6BC1" w14:textId="77777777" w:rsidR="00F67C81" w:rsidRPr="00AF79C9" w:rsidRDefault="00F67C81" w:rsidP="00D03ABB">
            <w:pPr>
              <w:pStyle w:val="a4"/>
              <w:tabs>
                <w:tab w:val="left" w:pos="10260"/>
              </w:tabs>
              <w:rPr>
                <w:rFonts w:ascii="Arial Narrow" w:hAnsi="Arial Narrow"/>
                <w:sz w:val="20"/>
                <w:szCs w:val="20"/>
                <w:lang w:val="uk-UA"/>
              </w:rPr>
            </w:pPr>
            <w:proofErr w:type="spellStart"/>
            <w:r w:rsidRPr="00AF79C9">
              <w:rPr>
                <w:rFonts w:ascii="Arial Narrow" w:hAnsi="Arial Narrow"/>
                <w:sz w:val="20"/>
                <w:szCs w:val="20"/>
                <w:lang w:val="uk-UA"/>
              </w:rPr>
              <w:t>fax</w:t>
            </w:r>
            <w:proofErr w:type="spellEnd"/>
            <w:r w:rsidRPr="00AF79C9">
              <w:rPr>
                <w:rFonts w:ascii="Arial Narrow" w:hAnsi="Arial Narrow"/>
                <w:sz w:val="20"/>
                <w:szCs w:val="20"/>
                <w:lang w:val="uk-UA"/>
              </w:rPr>
              <w:t xml:space="preserve"> +38 /044/ 383-27-50</w:t>
            </w:r>
          </w:p>
          <w:p w14:paraId="7A38B356" w14:textId="77777777" w:rsidR="00F67C81" w:rsidRPr="00AF79C9" w:rsidRDefault="00F67C81" w:rsidP="00D03ABB">
            <w:pPr>
              <w:pStyle w:val="a4"/>
              <w:tabs>
                <w:tab w:val="left" w:pos="10260"/>
              </w:tabs>
              <w:rPr>
                <w:rFonts w:ascii="Arial Narrow" w:hAnsi="Arial Narrow"/>
                <w:sz w:val="20"/>
                <w:szCs w:val="20"/>
                <w:lang w:val="uk-UA"/>
              </w:rPr>
            </w:pPr>
          </w:p>
          <w:p w14:paraId="6C44DD7B" w14:textId="77777777" w:rsidR="00F67C81" w:rsidRPr="00AF79C9" w:rsidRDefault="00F67C81" w:rsidP="00D03ABB">
            <w:pPr>
              <w:pStyle w:val="a4"/>
              <w:tabs>
                <w:tab w:val="left" w:pos="10260"/>
              </w:tabs>
              <w:rPr>
                <w:rFonts w:ascii="Arial Narrow" w:hAnsi="Arial Narrow"/>
                <w:i/>
                <w:sz w:val="20"/>
                <w:szCs w:val="20"/>
                <w:lang w:val="uk-UA"/>
              </w:rPr>
            </w:pPr>
            <w:r w:rsidRPr="00AF79C9">
              <w:rPr>
                <w:rFonts w:ascii="Arial Narrow" w:hAnsi="Arial Narrow"/>
                <w:i/>
                <w:sz w:val="20"/>
                <w:szCs w:val="20"/>
                <w:lang w:val="uk-UA"/>
              </w:rPr>
              <w:t>http://www.standard-rating.</w:t>
            </w:r>
            <w:r w:rsidR="00DD6DB4" w:rsidRPr="00AF79C9">
              <w:rPr>
                <w:rFonts w:ascii="Arial Narrow" w:hAnsi="Arial Narrow"/>
                <w:i/>
                <w:sz w:val="20"/>
                <w:szCs w:val="20"/>
                <w:lang w:val="uk-UA"/>
              </w:rPr>
              <w:t>biz</w:t>
            </w:r>
            <w:r w:rsidRPr="00AF79C9">
              <w:rPr>
                <w:rFonts w:ascii="Arial Narrow" w:hAnsi="Arial Narrow"/>
                <w:i/>
                <w:sz w:val="20"/>
                <w:szCs w:val="20"/>
                <w:lang w:val="uk-UA"/>
              </w:rPr>
              <w:t>/</w:t>
            </w:r>
            <w:r w:rsidRPr="00AF79C9">
              <w:rPr>
                <w:rFonts w:ascii="Arial Narrow" w:hAnsi="Arial Narrow"/>
                <w:b/>
                <w:i/>
                <w:sz w:val="20"/>
                <w:szCs w:val="20"/>
                <w:lang w:val="uk-UA"/>
              </w:rPr>
              <w:tab/>
            </w:r>
          </w:p>
        </w:tc>
      </w:tr>
    </w:tbl>
    <w:p w14:paraId="5884FB1D" w14:textId="0025C531" w:rsidR="0092331C" w:rsidRPr="00AF79C9" w:rsidRDefault="002F2823" w:rsidP="00C85A2F">
      <w:pPr>
        <w:jc w:val="both"/>
        <w:rPr>
          <w:rFonts w:ascii="Bookman Old Style" w:hAnsi="Bookman Old Style"/>
          <w:sz w:val="20"/>
          <w:szCs w:val="20"/>
          <w:lang w:val="uk-UA"/>
        </w:rPr>
      </w:pPr>
      <w:r>
        <w:rPr>
          <w:rFonts w:ascii="Bookman Old Style" w:hAnsi="Bookman Old Style"/>
          <w:sz w:val="20"/>
          <w:szCs w:val="20"/>
          <w:lang w:val="uk-UA"/>
        </w:rPr>
        <w:t>11</w:t>
      </w:r>
      <w:r w:rsidR="00B73C1A" w:rsidRPr="00AF79C9">
        <w:rPr>
          <w:rFonts w:ascii="Bookman Old Style" w:hAnsi="Bookman Old Style"/>
          <w:sz w:val="20"/>
          <w:szCs w:val="20"/>
          <w:lang w:val="uk-UA"/>
        </w:rPr>
        <w:t>/</w:t>
      </w:r>
      <w:r w:rsidR="00EE4C79" w:rsidRPr="00AF79C9">
        <w:rPr>
          <w:rFonts w:ascii="Bookman Old Style" w:hAnsi="Bookman Old Style"/>
          <w:sz w:val="20"/>
          <w:szCs w:val="20"/>
          <w:lang w:val="uk-UA"/>
        </w:rPr>
        <w:t>10</w:t>
      </w:r>
      <w:r w:rsidR="004735BF" w:rsidRPr="00AF79C9">
        <w:rPr>
          <w:rFonts w:ascii="Bookman Old Style" w:hAnsi="Bookman Old Style"/>
          <w:sz w:val="20"/>
          <w:szCs w:val="20"/>
          <w:lang w:val="uk-UA"/>
        </w:rPr>
        <w:t>/201</w:t>
      </w:r>
      <w:r w:rsidR="00F30D7F" w:rsidRPr="00AF79C9">
        <w:rPr>
          <w:rFonts w:ascii="Bookman Old Style" w:hAnsi="Bookman Old Style"/>
          <w:sz w:val="20"/>
          <w:szCs w:val="20"/>
          <w:lang w:val="uk-UA"/>
        </w:rPr>
        <w:t>8</w:t>
      </w:r>
    </w:p>
    <w:p w14:paraId="00A26068" w14:textId="7A027348" w:rsidR="00BF5C45" w:rsidRPr="00AF79C9" w:rsidRDefault="00060C12" w:rsidP="00BF5C45">
      <w:pPr>
        <w:ind w:firstLine="708"/>
        <w:jc w:val="center"/>
        <w:rPr>
          <w:rFonts w:ascii="Bookman Old Style" w:hAnsi="Bookman Old Style"/>
          <w:b/>
          <w:sz w:val="28"/>
          <w:szCs w:val="28"/>
          <w:lang w:val="uk-UA"/>
        </w:rPr>
      </w:pPr>
      <w:r>
        <w:rPr>
          <w:rFonts w:ascii="Bookman Old Style" w:hAnsi="Bookman Old Style"/>
          <w:b/>
          <w:sz w:val="28"/>
          <w:szCs w:val="28"/>
          <w:lang w:val="en-US"/>
        </w:rPr>
        <w:t>Ratings of PJSC “PRIVATBANK” are updated</w:t>
      </w:r>
      <w:r w:rsidRPr="00AF79C9">
        <w:rPr>
          <w:rFonts w:ascii="Bookman Old Style" w:hAnsi="Bookman Old Style"/>
          <w:b/>
          <w:sz w:val="28"/>
          <w:szCs w:val="28"/>
          <w:lang w:val="uk-UA"/>
        </w:rPr>
        <w:t xml:space="preserve"> </w:t>
      </w:r>
    </w:p>
    <w:p w14:paraId="7059133A" w14:textId="77777777" w:rsidR="00E9332A" w:rsidRPr="00AF79C9" w:rsidRDefault="00E9332A" w:rsidP="00BF5C45">
      <w:pPr>
        <w:ind w:firstLine="708"/>
        <w:jc w:val="center"/>
        <w:rPr>
          <w:rFonts w:ascii="Bookman Old Style" w:hAnsi="Bookman Old Style"/>
          <w:sz w:val="20"/>
          <w:szCs w:val="20"/>
          <w:lang w:val="uk-UA"/>
        </w:rPr>
      </w:pPr>
    </w:p>
    <w:p w14:paraId="244380AC" w14:textId="485B857C" w:rsidR="00FD0993" w:rsidRPr="00AF79C9" w:rsidRDefault="005A214A" w:rsidP="008D1B34">
      <w:pPr>
        <w:ind w:firstLine="708"/>
        <w:jc w:val="both"/>
        <w:rPr>
          <w:rFonts w:ascii="Bookman Old Style" w:hAnsi="Bookman Old Style"/>
          <w:sz w:val="20"/>
          <w:szCs w:val="20"/>
          <w:lang w:val="uk-UA"/>
        </w:rPr>
      </w:pPr>
      <w:proofErr w:type="gramStart"/>
      <w:r>
        <w:rPr>
          <w:rFonts w:ascii="Bookman Old Style" w:hAnsi="Bookman Old Style"/>
          <w:sz w:val="20"/>
          <w:szCs w:val="20"/>
          <w:lang w:val="en-US"/>
        </w:rPr>
        <w:t>October</w:t>
      </w:r>
      <w:r w:rsidRPr="005A214A">
        <w:rPr>
          <w:rFonts w:ascii="Bookman Old Style" w:hAnsi="Bookman Old Style"/>
          <w:sz w:val="20"/>
          <w:szCs w:val="20"/>
          <w:lang w:val="uk-UA"/>
        </w:rPr>
        <w:t xml:space="preserve"> </w:t>
      </w:r>
      <w:r w:rsidR="002F2823">
        <w:rPr>
          <w:rFonts w:ascii="Bookman Old Style" w:hAnsi="Bookman Old Style"/>
          <w:sz w:val="20"/>
          <w:szCs w:val="20"/>
          <w:lang w:val="uk-UA"/>
        </w:rPr>
        <w:t>11</w:t>
      </w:r>
      <w:r w:rsidRPr="00DF1BA8">
        <w:rPr>
          <w:rFonts w:ascii="Bookman Old Style" w:hAnsi="Bookman Old Style"/>
          <w:sz w:val="20"/>
          <w:szCs w:val="20"/>
          <w:lang w:val="uk-UA"/>
        </w:rPr>
        <w:t>,</w:t>
      </w:r>
      <w:r w:rsidR="009D6EAC" w:rsidRPr="00AF79C9">
        <w:rPr>
          <w:rFonts w:ascii="Bookman Old Style" w:hAnsi="Bookman Old Style"/>
          <w:sz w:val="20"/>
          <w:szCs w:val="20"/>
          <w:lang w:val="uk-UA"/>
        </w:rPr>
        <w:t xml:space="preserve"> 201</w:t>
      </w:r>
      <w:r w:rsidR="00DF79E8" w:rsidRPr="00AF79C9">
        <w:rPr>
          <w:rFonts w:ascii="Bookman Old Style" w:hAnsi="Bookman Old Style"/>
          <w:sz w:val="20"/>
          <w:szCs w:val="20"/>
          <w:lang w:val="uk-UA"/>
        </w:rPr>
        <w:t>8</w:t>
      </w:r>
      <w:r w:rsidR="00DF1BA8" w:rsidRPr="00DF1BA8">
        <w:rPr>
          <w:rFonts w:ascii="Bookman Old Style" w:hAnsi="Bookman Old Style"/>
          <w:sz w:val="20"/>
          <w:szCs w:val="20"/>
          <w:lang w:val="uk-UA"/>
        </w:rPr>
        <w:t xml:space="preserve"> </w:t>
      </w:r>
      <w:r w:rsidR="00DF1BA8">
        <w:rPr>
          <w:rFonts w:ascii="Bookman Old Style" w:hAnsi="Bookman Old Style"/>
          <w:sz w:val="20"/>
          <w:szCs w:val="20"/>
          <w:lang w:val="en-US"/>
        </w:rPr>
        <w:t>at</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the</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meeting</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of</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the</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rating</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committee</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of</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RA</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Standard</w:t>
      </w:r>
      <w:r w:rsidR="00DF1BA8" w:rsidRPr="005D36D5">
        <w:rPr>
          <w:rFonts w:ascii="Bookman Old Style" w:hAnsi="Bookman Old Style"/>
          <w:sz w:val="20"/>
          <w:szCs w:val="20"/>
          <w:lang w:val="uk-UA"/>
        </w:rPr>
        <w:t>-</w:t>
      </w:r>
      <w:r w:rsidR="00DF1BA8">
        <w:rPr>
          <w:rFonts w:ascii="Bookman Old Style" w:hAnsi="Bookman Old Style"/>
          <w:sz w:val="20"/>
          <w:szCs w:val="20"/>
          <w:lang w:val="en-US"/>
        </w:rPr>
        <w:t>Rating</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it</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was</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decided</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to</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update</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the</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ratings</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of</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PJSC</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CB</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PRIVATBANK</w:t>
      </w:r>
      <w:r w:rsidR="00DF1BA8" w:rsidRPr="005D36D5">
        <w:rPr>
          <w:rFonts w:ascii="Bookman Old Style" w:hAnsi="Bookman Old Style"/>
          <w:sz w:val="20"/>
          <w:szCs w:val="20"/>
          <w:lang w:val="uk-UA"/>
        </w:rPr>
        <w:t>” (</w:t>
      </w:r>
      <w:r w:rsidR="00DF1BA8" w:rsidRPr="00FD48A7">
        <w:rPr>
          <w:rFonts w:ascii="Bookman Old Style" w:hAnsi="Bookman Old Style"/>
          <w:sz w:val="20"/>
          <w:szCs w:val="20"/>
          <w:lang w:val="uk-UA"/>
        </w:rPr>
        <w:t>14360570)</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according</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to</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the</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national</w:t>
      </w:r>
      <w:r w:rsidR="00DF1BA8" w:rsidRPr="005D36D5">
        <w:rPr>
          <w:rFonts w:ascii="Bookman Old Style" w:hAnsi="Bookman Old Style"/>
          <w:sz w:val="20"/>
          <w:szCs w:val="20"/>
          <w:lang w:val="uk-UA"/>
        </w:rPr>
        <w:t xml:space="preserve"> </w:t>
      </w:r>
      <w:r w:rsidR="00DF1BA8">
        <w:rPr>
          <w:rFonts w:ascii="Bookman Old Style" w:hAnsi="Bookman Old Style"/>
          <w:sz w:val="20"/>
          <w:szCs w:val="20"/>
          <w:lang w:val="en-US"/>
        </w:rPr>
        <w:t>scale</w:t>
      </w:r>
      <w:r w:rsidR="00FD0993" w:rsidRPr="00AF79C9">
        <w:rPr>
          <w:rFonts w:ascii="Bookman Old Style" w:hAnsi="Bookman Old Style"/>
          <w:sz w:val="20"/>
          <w:szCs w:val="20"/>
          <w:lang w:val="uk-UA"/>
        </w:rPr>
        <w:t>:</w:t>
      </w:r>
      <w:proofErr w:type="gramEnd"/>
    </w:p>
    <w:p w14:paraId="4CAC1B61" w14:textId="31D81B30" w:rsidR="00FD0993" w:rsidRPr="00AF79C9" w:rsidRDefault="00AC1DBD" w:rsidP="00FD0993">
      <w:pPr>
        <w:numPr>
          <w:ilvl w:val="0"/>
          <w:numId w:val="7"/>
        </w:numPr>
        <w:jc w:val="both"/>
        <w:rPr>
          <w:rFonts w:ascii="Bookman Old Style" w:hAnsi="Bookman Old Style"/>
          <w:sz w:val="20"/>
          <w:szCs w:val="20"/>
          <w:lang w:val="uk-UA"/>
        </w:rPr>
      </w:pPr>
      <w:r>
        <w:rPr>
          <w:rFonts w:ascii="Bookman Old Style" w:hAnsi="Bookman Old Style"/>
          <w:sz w:val="20"/>
          <w:szCs w:val="20"/>
          <w:lang w:val="en-US"/>
        </w:rPr>
        <w:t>Long</w:t>
      </w:r>
      <w:r w:rsidRPr="008C6288">
        <w:rPr>
          <w:rFonts w:ascii="Bookman Old Style" w:hAnsi="Bookman Old Style"/>
          <w:sz w:val="20"/>
          <w:szCs w:val="20"/>
          <w:lang w:val="en-GB"/>
        </w:rPr>
        <w:t>-</w:t>
      </w:r>
      <w:r>
        <w:rPr>
          <w:rFonts w:ascii="Bookman Old Style" w:hAnsi="Bookman Old Style"/>
          <w:sz w:val="20"/>
          <w:szCs w:val="20"/>
          <w:lang w:val="en-US"/>
        </w:rPr>
        <w:t>term</w:t>
      </w:r>
      <w:r w:rsidRPr="008C6288">
        <w:rPr>
          <w:rFonts w:ascii="Bookman Old Style" w:hAnsi="Bookman Old Style"/>
          <w:sz w:val="20"/>
          <w:szCs w:val="20"/>
          <w:lang w:val="en-GB"/>
        </w:rPr>
        <w:t xml:space="preserve"> </w:t>
      </w:r>
      <w:r>
        <w:rPr>
          <w:rFonts w:ascii="Bookman Old Style" w:hAnsi="Bookman Old Style"/>
          <w:sz w:val="20"/>
          <w:szCs w:val="20"/>
          <w:lang w:val="en-US"/>
        </w:rPr>
        <w:t>credit</w:t>
      </w:r>
      <w:r w:rsidRPr="008C6288">
        <w:rPr>
          <w:rFonts w:ascii="Bookman Old Style" w:hAnsi="Bookman Old Style"/>
          <w:sz w:val="20"/>
          <w:szCs w:val="20"/>
          <w:lang w:val="en-GB"/>
        </w:rPr>
        <w:t xml:space="preserve"> </w:t>
      </w:r>
      <w:r>
        <w:rPr>
          <w:rFonts w:ascii="Bookman Old Style" w:hAnsi="Bookman Old Style"/>
          <w:sz w:val="20"/>
          <w:szCs w:val="20"/>
          <w:lang w:val="en-US"/>
        </w:rPr>
        <w:t>rating</w:t>
      </w:r>
      <w:r w:rsidRPr="008C6288">
        <w:rPr>
          <w:rFonts w:ascii="Bookman Old Style" w:hAnsi="Bookman Old Style"/>
          <w:sz w:val="20"/>
          <w:szCs w:val="20"/>
          <w:lang w:val="en-GB"/>
        </w:rPr>
        <w:t xml:space="preserve"> </w:t>
      </w:r>
      <w:r>
        <w:rPr>
          <w:rFonts w:ascii="Bookman Old Style" w:hAnsi="Bookman Old Style"/>
          <w:sz w:val="20"/>
          <w:szCs w:val="20"/>
          <w:lang w:val="en-US"/>
        </w:rPr>
        <w:t>of</w:t>
      </w:r>
      <w:r w:rsidRPr="008C6288">
        <w:rPr>
          <w:rFonts w:ascii="Bookman Old Style" w:hAnsi="Bookman Old Style"/>
          <w:sz w:val="20"/>
          <w:szCs w:val="20"/>
          <w:lang w:val="en-GB"/>
        </w:rPr>
        <w:t xml:space="preserve"> </w:t>
      </w:r>
      <w:r>
        <w:rPr>
          <w:rFonts w:ascii="Bookman Old Style" w:hAnsi="Bookman Old Style"/>
          <w:sz w:val="20"/>
          <w:szCs w:val="20"/>
          <w:lang w:val="en-US"/>
        </w:rPr>
        <w:t>PJSC</w:t>
      </w:r>
      <w:r w:rsidRPr="005D36D5">
        <w:rPr>
          <w:rFonts w:ascii="Bookman Old Style" w:hAnsi="Bookman Old Style"/>
          <w:sz w:val="20"/>
          <w:szCs w:val="20"/>
          <w:lang w:val="uk-UA"/>
        </w:rPr>
        <w:t xml:space="preserve"> “</w:t>
      </w:r>
      <w:r>
        <w:rPr>
          <w:rFonts w:ascii="Bookman Old Style" w:hAnsi="Bookman Old Style"/>
          <w:sz w:val="20"/>
          <w:szCs w:val="20"/>
          <w:lang w:val="en-US"/>
        </w:rPr>
        <w:t>CB</w:t>
      </w:r>
      <w:r w:rsidRPr="005D36D5">
        <w:rPr>
          <w:rFonts w:ascii="Bookman Old Style" w:hAnsi="Bookman Old Style"/>
          <w:sz w:val="20"/>
          <w:szCs w:val="20"/>
          <w:lang w:val="uk-UA"/>
        </w:rPr>
        <w:t xml:space="preserve"> “</w:t>
      </w:r>
      <w:r>
        <w:rPr>
          <w:rFonts w:ascii="Bookman Old Style" w:hAnsi="Bookman Old Style"/>
          <w:sz w:val="20"/>
          <w:szCs w:val="20"/>
          <w:lang w:val="en-US"/>
        </w:rPr>
        <w:t>PRIVATBANK</w:t>
      </w:r>
      <w:r w:rsidRPr="005D36D5">
        <w:rPr>
          <w:rFonts w:ascii="Bookman Old Style" w:hAnsi="Bookman Old Style"/>
          <w:sz w:val="20"/>
          <w:szCs w:val="20"/>
          <w:lang w:val="uk-UA"/>
        </w:rPr>
        <w:t xml:space="preserve">” </w:t>
      </w:r>
      <w:r>
        <w:rPr>
          <w:rFonts w:ascii="Bookman Old Style" w:hAnsi="Bookman Old Style"/>
          <w:sz w:val="20"/>
          <w:szCs w:val="20"/>
          <w:lang w:val="en-GB"/>
        </w:rPr>
        <w:t xml:space="preserve">at the level </w:t>
      </w:r>
      <w:proofErr w:type="spellStart"/>
      <w:r w:rsidRPr="00FD0993">
        <w:rPr>
          <w:rFonts w:ascii="Bookman Old Style" w:hAnsi="Bookman Old Style"/>
          <w:sz w:val="20"/>
          <w:szCs w:val="20"/>
          <w:lang w:val="uk-UA"/>
        </w:rPr>
        <w:t>uaAA</w:t>
      </w:r>
      <w:proofErr w:type="spellEnd"/>
      <w:r>
        <w:rPr>
          <w:rFonts w:ascii="Bookman Old Style" w:hAnsi="Bookman Old Style"/>
          <w:sz w:val="20"/>
          <w:szCs w:val="20"/>
          <w:lang w:val="en-GB"/>
        </w:rPr>
        <w:t xml:space="preserve"> according to the national scale with positive outlook. The</w:t>
      </w:r>
      <w:r w:rsidRPr="008C6288">
        <w:rPr>
          <w:rFonts w:ascii="Bookman Old Style" w:hAnsi="Bookman Old Style"/>
          <w:sz w:val="20"/>
          <w:szCs w:val="20"/>
          <w:lang w:val="en-GB"/>
        </w:rPr>
        <w:t xml:space="preserve"> </w:t>
      </w:r>
      <w:r>
        <w:rPr>
          <w:rFonts w:ascii="Bookman Old Style" w:hAnsi="Bookman Old Style"/>
          <w:sz w:val="20"/>
          <w:szCs w:val="20"/>
          <w:lang w:val="en-GB"/>
        </w:rPr>
        <w:t>Bank or</w:t>
      </w:r>
      <w:r w:rsidRPr="008C6288">
        <w:rPr>
          <w:rFonts w:ascii="Bookman Old Style" w:hAnsi="Bookman Old Style"/>
          <w:sz w:val="20"/>
          <w:szCs w:val="20"/>
          <w:lang w:val="en-GB"/>
        </w:rPr>
        <w:t xml:space="preserve"> </w:t>
      </w:r>
      <w:r>
        <w:rPr>
          <w:rFonts w:ascii="Bookman Old Style" w:hAnsi="Bookman Old Style"/>
          <w:sz w:val="20"/>
          <w:szCs w:val="20"/>
          <w:lang w:val="en-GB"/>
        </w:rPr>
        <w:t>the separate bond instrument with</w:t>
      </w:r>
      <w:r w:rsidRPr="008C6288">
        <w:rPr>
          <w:rFonts w:ascii="Bookman Old Style" w:hAnsi="Bookman Old Style"/>
          <w:sz w:val="20"/>
          <w:szCs w:val="20"/>
          <w:lang w:val="en-GB"/>
        </w:rPr>
        <w:t xml:space="preserve"> </w:t>
      </w:r>
      <w:r>
        <w:rPr>
          <w:rFonts w:ascii="Bookman Old Style" w:hAnsi="Bookman Old Style"/>
          <w:sz w:val="20"/>
          <w:szCs w:val="20"/>
          <w:lang w:val="en-GB"/>
        </w:rPr>
        <w:t>rating</w:t>
      </w:r>
      <w:r w:rsidRPr="008C6288">
        <w:rPr>
          <w:rFonts w:ascii="Bookman Old Style" w:hAnsi="Bookman Old Style"/>
          <w:sz w:val="20"/>
          <w:szCs w:val="20"/>
          <w:lang w:val="en-GB"/>
        </w:rPr>
        <w:t xml:space="preserve"> </w:t>
      </w:r>
      <w:proofErr w:type="spellStart"/>
      <w:r w:rsidRPr="00FD0993">
        <w:rPr>
          <w:rFonts w:ascii="Bookman Old Style" w:hAnsi="Bookman Old Style"/>
          <w:sz w:val="20"/>
          <w:szCs w:val="20"/>
          <w:lang w:val="uk-UA"/>
        </w:rPr>
        <w:t>uaAA</w:t>
      </w:r>
      <w:proofErr w:type="spellEnd"/>
      <w:r>
        <w:rPr>
          <w:rFonts w:ascii="Bookman Old Style" w:hAnsi="Bookman Old Style"/>
          <w:sz w:val="20"/>
          <w:szCs w:val="20"/>
          <w:lang w:val="en-US"/>
        </w:rPr>
        <w:t xml:space="preserve"> is characterized by a very high solvency compared to other Ukrainian borrowers or bond instruments</w:t>
      </w:r>
      <w:r>
        <w:rPr>
          <w:rFonts w:ascii="Bookman Old Style" w:hAnsi="Bookman Old Style"/>
          <w:sz w:val="20"/>
          <w:szCs w:val="20"/>
          <w:lang w:val="en-US"/>
        </w:rPr>
        <w:t xml:space="preserve">. </w:t>
      </w:r>
    </w:p>
    <w:p w14:paraId="01A32A5D" w14:textId="7DDDE7A4" w:rsidR="00FD0993" w:rsidRPr="00AF79C9" w:rsidRDefault="00A83ADA" w:rsidP="00FD0993">
      <w:pPr>
        <w:numPr>
          <w:ilvl w:val="0"/>
          <w:numId w:val="7"/>
        </w:numPr>
        <w:jc w:val="both"/>
        <w:rPr>
          <w:rFonts w:ascii="Bookman Old Style" w:hAnsi="Bookman Old Style"/>
          <w:sz w:val="20"/>
          <w:szCs w:val="20"/>
          <w:lang w:val="uk-UA"/>
        </w:rPr>
      </w:pPr>
      <w:r>
        <w:rPr>
          <w:rFonts w:ascii="Bookman Old Style" w:hAnsi="Bookman Old Style"/>
          <w:sz w:val="20"/>
          <w:szCs w:val="20"/>
          <w:lang w:val="en-US"/>
        </w:rPr>
        <w:t>Short</w:t>
      </w:r>
      <w:r w:rsidRPr="000E4BE3">
        <w:rPr>
          <w:rFonts w:ascii="Bookman Old Style" w:hAnsi="Bookman Old Style"/>
          <w:sz w:val="20"/>
          <w:szCs w:val="20"/>
          <w:lang w:val="uk-UA"/>
        </w:rPr>
        <w:t>-</w:t>
      </w:r>
      <w:r>
        <w:rPr>
          <w:rFonts w:ascii="Bookman Old Style" w:hAnsi="Bookman Old Style"/>
          <w:sz w:val="20"/>
          <w:szCs w:val="20"/>
          <w:lang w:val="en-US"/>
        </w:rPr>
        <w:t>term</w:t>
      </w:r>
      <w:r w:rsidRPr="000E4BE3">
        <w:rPr>
          <w:rFonts w:ascii="Bookman Old Style" w:hAnsi="Bookman Old Style"/>
          <w:sz w:val="20"/>
          <w:szCs w:val="20"/>
          <w:lang w:val="uk-UA"/>
        </w:rPr>
        <w:t xml:space="preserve"> </w:t>
      </w:r>
      <w:r>
        <w:rPr>
          <w:rFonts w:ascii="Bookman Old Style" w:hAnsi="Bookman Old Style"/>
          <w:sz w:val="20"/>
          <w:szCs w:val="20"/>
          <w:lang w:val="en-US"/>
        </w:rPr>
        <w:t>credit</w:t>
      </w:r>
      <w:r w:rsidRPr="000E4BE3">
        <w:rPr>
          <w:rFonts w:ascii="Bookman Old Style" w:hAnsi="Bookman Old Style"/>
          <w:sz w:val="20"/>
          <w:szCs w:val="20"/>
          <w:lang w:val="uk-UA"/>
        </w:rPr>
        <w:t xml:space="preserve"> </w:t>
      </w:r>
      <w:r>
        <w:rPr>
          <w:rFonts w:ascii="Bookman Old Style" w:hAnsi="Bookman Old Style"/>
          <w:sz w:val="20"/>
          <w:szCs w:val="20"/>
          <w:lang w:val="en-US"/>
        </w:rPr>
        <w:t>rating</w:t>
      </w:r>
      <w:r w:rsidRPr="000E4BE3">
        <w:rPr>
          <w:rFonts w:ascii="Bookman Old Style" w:hAnsi="Bookman Old Style"/>
          <w:sz w:val="20"/>
          <w:szCs w:val="20"/>
          <w:lang w:val="uk-UA"/>
        </w:rPr>
        <w:t xml:space="preserve"> </w:t>
      </w:r>
      <w:r>
        <w:rPr>
          <w:rFonts w:ascii="Bookman Old Style" w:hAnsi="Bookman Old Style"/>
          <w:sz w:val="20"/>
          <w:szCs w:val="20"/>
          <w:lang w:val="en-US"/>
        </w:rPr>
        <w:t>of</w:t>
      </w:r>
      <w:r w:rsidRPr="000E4BE3">
        <w:rPr>
          <w:rFonts w:ascii="Bookman Old Style" w:hAnsi="Bookman Old Style"/>
          <w:sz w:val="20"/>
          <w:szCs w:val="20"/>
          <w:lang w:val="uk-UA"/>
        </w:rPr>
        <w:t xml:space="preserve"> </w:t>
      </w:r>
      <w:r>
        <w:rPr>
          <w:rFonts w:ascii="Bookman Old Style" w:hAnsi="Bookman Old Style"/>
          <w:sz w:val="20"/>
          <w:szCs w:val="20"/>
          <w:lang w:val="en-US"/>
        </w:rPr>
        <w:t>PJSC</w:t>
      </w:r>
      <w:r w:rsidRPr="005D36D5">
        <w:rPr>
          <w:rFonts w:ascii="Bookman Old Style" w:hAnsi="Bookman Old Style"/>
          <w:sz w:val="20"/>
          <w:szCs w:val="20"/>
          <w:lang w:val="uk-UA"/>
        </w:rPr>
        <w:t xml:space="preserve"> “</w:t>
      </w:r>
      <w:r>
        <w:rPr>
          <w:rFonts w:ascii="Bookman Old Style" w:hAnsi="Bookman Old Style"/>
          <w:sz w:val="20"/>
          <w:szCs w:val="20"/>
          <w:lang w:val="en-US"/>
        </w:rPr>
        <w:t>CB</w:t>
      </w:r>
      <w:r w:rsidRPr="005D36D5">
        <w:rPr>
          <w:rFonts w:ascii="Bookman Old Style" w:hAnsi="Bookman Old Style"/>
          <w:sz w:val="20"/>
          <w:szCs w:val="20"/>
          <w:lang w:val="uk-UA"/>
        </w:rPr>
        <w:t xml:space="preserve"> “</w:t>
      </w:r>
      <w:r>
        <w:rPr>
          <w:rFonts w:ascii="Bookman Old Style" w:hAnsi="Bookman Old Style"/>
          <w:sz w:val="20"/>
          <w:szCs w:val="20"/>
          <w:lang w:val="en-US"/>
        </w:rPr>
        <w:t>PRIVATBANK</w:t>
      </w:r>
      <w:r w:rsidRPr="005D36D5">
        <w:rPr>
          <w:rFonts w:ascii="Bookman Old Style" w:hAnsi="Bookman Old Style"/>
          <w:sz w:val="20"/>
          <w:szCs w:val="20"/>
          <w:lang w:val="uk-UA"/>
        </w:rPr>
        <w:t xml:space="preserve">” </w:t>
      </w:r>
      <w:r>
        <w:rPr>
          <w:rFonts w:ascii="Bookman Old Style" w:hAnsi="Bookman Old Style"/>
          <w:sz w:val="20"/>
          <w:szCs w:val="20"/>
          <w:lang w:val="en-GB"/>
        </w:rPr>
        <w:t>at</w:t>
      </w:r>
      <w:r w:rsidRPr="000E4BE3">
        <w:rPr>
          <w:rFonts w:ascii="Bookman Old Style" w:hAnsi="Bookman Old Style"/>
          <w:sz w:val="20"/>
          <w:szCs w:val="20"/>
          <w:lang w:val="uk-UA"/>
        </w:rPr>
        <w:t xml:space="preserve"> </w:t>
      </w:r>
      <w:r>
        <w:rPr>
          <w:rFonts w:ascii="Bookman Old Style" w:hAnsi="Bookman Old Style"/>
          <w:sz w:val="20"/>
          <w:szCs w:val="20"/>
          <w:lang w:val="en-GB"/>
        </w:rPr>
        <w:t>the</w:t>
      </w:r>
      <w:r w:rsidRPr="000E4BE3">
        <w:rPr>
          <w:rFonts w:ascii="Bookman Old Style" w:hAnsi="Bookman Old Style"/>
          <w:sz w:val="20"/>
          <w:szCs w:val="20"/>
          <w:lang w:val="uk-UA"/>
        </w:rPr>
        <w:t xml:space="preserve"> </w:t>
      </w:r>
      <w:r>
        <w:rPr>
          <w:rFonts w:ascii="Bookman Old Style" w:hAnsi="Bookman Old Style"/>
          <w:sz w:val="20"/>
          <w:szCs w:val="20"/>
          <w:lang w:val="en-GB"/>
        </w:rPr>
        <w:t>level</w:t>
      </w:r>
      <w:r w:rsidRPr="000E4BE3">
        <w:rPr>
          <w:rFonts w:ascii="Bookman Old Style" w:hAnsi="Bookman Old Style"/>
          <w:sz w:val="20"/>
          <w:szCs w:val="20"/>
          <w:lang w:val="uk-UA"/>
        </w:rPr>
        <w:t xml:space="preserve"> </w:t>
      </w:r>
      <w:r w:rsidRPr="00FD0993">
        <w:rPr>
          <w:rFonts w:ascii="Bookman Old Style" w:hAnsi="Bookman Old Style"/>
          <w:sz w:val="20"/>
          <w:szCs w:val="20"/>
          <w:lang w:val="uk-UA"/>
        </w:rPr>
        <w:t>uaK1</w:t>
      </w:r>
      <w:r w:rsidRPr="000E4BE3">
        <w:rPr>
          <w:rFonts w:ascii="Bookman Old Style" w:hAnsi="Bookman Old Style"/>
          <w:sz w:val="20"/>
          <w:szCs w:val="20"/>
          <w:lang w:val="uk-UA"/>
        </w:rPr>
        <w:t xml:space="preserve"> </w:t>
      </w:r>
      <w:r>
        <w:rPr>
          <w:rFonts w:ascii="Bookman Old Style" w:hAnsi="Bookman Old Style"/>
          <w:sz w:val="20"/>
          <w:szCs w:val="20"/>
          <w:lang w:val="en-GB"/>
        </w:rPr>
        <w:t>according</w:t>
      </w:r>
      <w:r w:rsidRPr="000E4BE3">
        <w:rPr>
          <w:rFonts w:ascii="Bookman Old Style" w:hAnsi="Bookman Old Style"/>
          <w:sz w:val="20"/>
          <w:szCs w:val="20"/>
          <w:lang w:val="uk-UA"/>
        </w:rPr>
        <w:t xml:space="preserve"> </w:t>
      </w:r>
      <w:r>
        <w:rPr>
          <w:rFonts w:ascii="Bookman Old Style" w:hAnsi="Bookman Old Style"/>
          <w:sz w:val="20"/>
          <w:szCs w:val="20"/>
          <w:lang w:val="en-GB"/>
        </w:rPr>
        <w:t>to</w:t>
      </w:r>
      <w:r w:rsidRPr="000E4BE3">
        <w:rPr>
          <w:rFonts w:ascii="Bookman Old Style" w:hAnsi="Bookman Old Style"/>
          <w:sz w:val="20"/>
          <w:szCs w:val="20"/>
          <w:lang w:val="uk-UA"/>
        </w:rPr>
        <w:t xml:space="preserve"> </w:t>
      </w:r>
      <w:r>
        <w:rPr>
          <w:rFonts w:ascii="Bookman Old Style" w:hAnsi="Bookman Old Style"/>
          <w:sz w:val="20"/>
          <w:szCs w:val="20"/>
          <w:lang w:val="en-GB"/>
        </w:rPr>
        <w:t>the</w:t>
      </w:r>
      <w:r w:rsidRPr="00B3720F">
        <w:rPr>
          <w:rFonts w:ascii="Bookman Old Style" w:hAnsi="Bookman Old Style"/>
          <w:sz w:val="20"/>
          <w:szCs w:val="20"/>
          <w:lang w:val="uk-UA"/>
        </w:rPr>
        <w:t xml:space="preserve"> </w:t>
      </w:r>
      <w:r>
        <w:rPr>
          <w:rFonts w:ascii="Bookman Old Style" w:hAnsi="Bookman Old Style"/>
          <w:sz w:val="20"/>
          <w:szCs w:val="20"/>
          <w:lang w:val="en-GB"/>
        </w:rPr>
        <w:t>Agency</w:t>
      </w:r>
      <w:r w:rsidRPr="00B3720F">
        <w:rPr>
          <w:rFonts w:ascii="Bookman Old Style" w:hAnsi="Bookman Old Style"/>
          <w:sz w:val="20"/>
          <w:szCs w:val="20"/>
          <w:lang w:val="uk-UA"/>
        </w:rPr>
        <w:t>’</w:t>
      </w:r>
      <w:r>
        <w:rPr>
          <w:rFonts w:ascii="Bookman Old Style" w:hAnsi="Bookman Old Style"/>
          <w:sz w:val="20"/>
          <w:szCs w:val="20"/>
          <w:lang w:val="en-GB"/>
        </w:rPr>
        <w:t>s</w:t>
      </w:r>
      <w:r w:rsidRPr="000E4BE3">
        <w:rPr>
          <w:rFonts w:ascii="Bookman Old Style" w:hAnsi="Bookman Old Style"/>
          <w:sz w:val="20"/>
          <w:szCs w:val="20"/>
          <w:lang w:val="uk-UA"/>
        </w:rPr>
        <w:t xml:space="preserve"> </w:t>
      </w:r>
      <w:r>
        <w:rPr>
          <w:rFonts w:ascii="Bookman Old Style" w:hAnsi="Bookman Old Style"/>
          <w:sz w:val="20"/>
          <w:szCs w:val="20"/>
          <w:lang w:val="en-GB"/>
        </w:rPr>
        <w:t>national</w:t>
      </w:r>
      <w:r w:rsidRPr="000E4BE3">
        <w:rPr>
          <w:rFonts w:ascii="Bookman Old Style" w:hAnsi="Bookman Old Style"/>
          <w:sz w:val="20"/>
          <w:szCs w:val="20"/>
          <w:lang w:val="uk-UA"/>
        </w:rPr>
        <w:t xml:space="preserve"> </w:t>
      </w:r>
      <w:r>
        <w:rPr>
          <w:rFonts w:ascii="Bookman Old Style" w:hAnsi="Bookman Old Style"/>
          <w:sz w:val="20"/>
          <w:szCs w:val="20"/>
          <w:lang w:val="en-GB"/>
        </w:rPr>
        <w:t>scale</w:t>
      </w:r>
      <w:r w:rsidRPr="000E4BE3">
        <w:rPr>
          <w:rFonts w:ascii="Bookman Old Style" w:hAnsi="Bookman Old Style"/>
          <w:sz w:val="20"/>
          <w:szCs w:val="20"/>
          <w:lang w:val="uk-UA"/>
        </w:rPr>
        <w:t>.</w:t>
      </w:r>
      <w:r>
        <w:rPr>
          <w:rFonts w:ascii="Bookman Old Style" w:hAnsi="Bookman Old Style"/>
          <w:sz w:val="20"/>
          <w:szCs w:val="20"/>
          <w:lang w:val="en-US"/>
        </w:rPr>
        <w:t xml:space="preserve"> </w:t>
      </w:r>
    </w:p>
    <w:p w14:paraId="6B9CE841" w14:textId="2D4A90FE" w:rsidR="00FD0993" w:rsidRPr="00AF79C9" w:rsidRDefault="00B56417" w:rsidP="00FD0993">
      <w:pPr>
        <w:numPr>
          <w:ilvl w:val="0"/>
          <w:numId w:val="7"/>
        </w:numPr>
        <w:jc w:val="both"/>
        <w:rPr>
          <w:rFonts w:ascii="Bookman Old Style" w:hAnsi="Bookman Old Style"/>
          <w:sz w:val="20"/>
          <w:szCs w:val="20"/>
          <w:lang w:val="uk-UA"/>
        </w:rPr>
      </w:pPr>
      <w:r>
        <w:rPr>
          <w:rFonts w:ascii="Bookman Old Style" w:hAnsi="Bookman Old Style"/>
          <w:sz w:val="20"/>
          <w:szCs w:val="20"/>
          <w:lang w:val="en-GB"/>
        </w:rPr>
        <w:t>Rating</w:t>
      </w:r>
      <w:r w:rsidRPr="00DD1CD8">
        <w:rPr>
          <w:rFonts w:ascii="Bookman Old Style" w:hAnsi="Bookman Old Style"/>
          <w:sz w:val="20"/>
          <w:szCs w:val="20"/>
          <w:lang w:val="en-GB"/>
        </w:rPr>
        <w:t xml:space="preserve"> </w:t>
      </w:r>
      <w:r>
        <w:rPr>
          <w:rFonts w:ascii="Bookman Old Style" w:hAnsi="Bookman Old Style"/>
          <w:sz w:val="20"/>
          <w:szCs w:val="20"/>
          <w:lang w:val="en-GB"/>
        </w:rPr>
        <w:t>of</w:t>
      </w:r>
      <w:r w:rsidRPr="00DD1CD8">
        <w:rPr>
          <w:rFonts w:ascii="Bookman Old Style" w:hAnsi="Bookman Old Style"/>
          <w:sz w:val="20"/>
          <w:szCs w:val="20"/>
          <w:lang w:val="en-GB"/>
        </w:rPr>
        <w:t xml:space="preserve"> </w:t>
      </w:r>
      <w:r>
        <w:rPr>
          <w:rFonts w:ascii="Bookman Old Style" w:hAnsi="Bookman Old Style"/>
          <w:sz w:val="20"/>
          <w:szCs w:val="20"/>
          <w:lang w:val="en-US"/>
        </w:rPr>
        <w:t>deposits of PJSC</w:t>
      </w:r>
      <w:r w:rsidRPr="005D36D5">
        <w:rPr>
          <w:rFonts w:ascii="Bookman Old Style" w:hAnsi="Bookman Old Style"/>
          <w:sz w:val="20"/>
          <w:szCs w:val="20"/>
          <w:lang w:val="uk-UA"/>
        </w:rPr>
        <w:t xml:space="preserve"> “</w:t>
      </w:r>
      <w:r>
        <w:rPr>
          <w:rFonts w:ascii="Bookman Old Style" w:hAnsi="Bookman Old Style"/>
          <w:sz w:val="20"/>
          <w:szCs w:val="20"/>
          <w:lang w:val="en-US"/>
        </w:rPr>
        <w:t>CB</w:t>
      </w:r>
      <w:r w:rsidRPr="005D36D5">
        <w:rPr>
          <w:rFonts w:ascii="Bookman Old Style" w:hAnsi="Bookman Old Style"/>
          <w:sz w:val="20"/>
          <w:szCs w:val="20"/>
          <w:lang w:val="uk-UA"/>
        </w:rPr>
        <w:t xml:space="preserve"> “</w:t>
      </w:r>
      <w:r>
        <w:rPr>
          <w:rFonts w:ascii="Bookman Old Style" w:hAnsi="Bookman Old Style"/>
          <w:sz w:val="20"/>
          <w:szCs w:val="20"/>
          <w:lang w:val="en-US"/>
        </w:rPr>
        <w:t>PRIVATBANK</w:t>
      </w:r>
      <w:r w:rsidRPr="005D36D5">
        <w:rPr>
          <w:rFonts w:ascii="Bookman Old Style" w:hAnsi="Bookman Old Style"/>
          <w:sz w:val="20"/>
          <w:szCs w:val="20"/>
          <w:lang w:val="uk-UA"/>
        </w:rPr>
        <w:t xml:space="preserve">” </w:t>
      </w:r>
      <w:r>
        <w:rPr>
          <w:rFonts w:ascii="Bookman Old Style" w:hAnsi="Bookman Old Style"/>
          <w:sz w:val="20"/>
          <w:szCs w:val="20"/>
          <w:lang w:val="en-GB"/>
        </w:rPr>
        <w:t xml:space="preserve">is confirmed at the level </w:t>
      </w:r>
      <w:r>
        <w:rPr>
          <w:rFonts w:ascii="Bookman Old Style" w:hAnsi="Bookman Old Style"/>
          <w:sz w:val="20"/>
          <w:szCs w:val="20"/>
          <w:lang w:val="uk-UA"/>
        </w:rPr>
        <w:t xml:space="preserve">ua.1 </w:t>
      </w:r>
      <w:r>
        <w:rPr>
          <w:rFonts w:ascii="Bookman Old Style" w:hAnsi="Bookman Old Style"/>
          <w:sz w:val="20"/>
          <w:szCs w:val="20"/>
          <w:lang w:val="en-US"/>
        </w:rPr>
        <w:t xml:space="preserve">according to the scale of RA </w:t>
      </w:r>
      <w:r>
        <w:rPr>
          <w:rFonts w:ascii="Bookman Old Style" w:hAnsi="Bookman Old Style"/>
          <w:sz w:val="20"/>
          <w:szCs w:val="20"/>
          <w:lang w:val="uk-UA"/>
        </w:rPr>
        <w:t>«</w:t>
      </w:r>
      <w:r>
        <w:rPr>
          <w:rFonts w:ascii="Bookman Old Style" w:hAnsi="Bookman Old Style"/>
          <w:sz w:val="20"/>
          <w:szCs w:val="20"/>
          <w:lang w:val="en-US"/>
        </w:rPr>
        <w:t>Standard-Rating</w:t>
      </w:r>
      <w:r w:rsidRPr="00FD0993">
        <w:rPr>
          <w:rFonts w:ascii="Bookman Old Style" w:hAnsi="Bookman Old Style"/>
          <w:sz w:val="20"/>
          <w:szCs w:val="20"/>
          <w:lang w:val="uk-UA"/>
        </w:rPr>
        <w:t>»</w:t>
      </w:r>
      <w:r>
        <w:rPr>
          <w:rFonts w:ascii="Bookman Old Style" w:hAnsi="Bookman Old Style"/>
          <w:sz w:val="20"/>
          <w:szCs w:val="20"/>
          <w:lang w:val="en-US"/>
        </w:rPr>
        <w:t>.</w:t>
      </w:r>
      <w:r>
        <w:rPr>
          <w:rFonts w:ascii="Bookman Old Style" w:hAnsi="Bookman Old Style"/>
          <w:sz w:val="20"/>
          <w:szCs w:val="20"/>
          <w:lang w:val="en-US"/>
        </w:rPr>
        <w:t xml:space="preserve"> </w:t>
      </w:r>
    </w:p>
    <w:p w14:paraId="7D8707D6" w14:textId="77777777" w:rsidR="00B90E29" w:rsidRPr="00AF79C9" w:rsidRDefault="00B90E29" w:rsidP="00163719">
      <w:pPr>
        <w:ind w:firstLine="708"/>
        <w:jc w:val="both"/>
        <w:rPr>
          <w:rFonts w:ascii="Bookman Old Style" w:hAnsi="Bookman Old Style"/>
          <w:sz w:val="20"/>
          <w:szCs w:val="20"/>
          <w:lang w:val="uk-UA"/>
        </w:rPr>
      </w:pPr>
    </w:p>
    <w:p w14:paraId="40449CA5" w14:textId="1CED2D7C" w:rsidR="00164B39" w:rsidRPr="00AF79C9" w:rsidRDefault="00BC30B9" w:rsidP="00163719">
      <w:pPr>
        <w:ind w:firstLine="708"/>
        <w:jc w:val="both"/>
        <w:rPr>
          <w:rFonts w:ascii="Bookman Old Style" w:hAnsi="Bookman Old Style"/>
          <w:sz w:val="20"/>
          <w:szCs w:val="20"/>
          <w:lang w:val="uk-UA"/>
        </w:rPr>
      </w:pPr>
      <w:r>
        <w:rPr>
          <w:rFonts w:ascii="Bookman Old Style" w:hAnsi="Bookman Old Style"/>
          <w:sz w:val="20"/>
          <w:szCs w:val="20"/>
          <w:lang w:val="en-US"/>
        </w:rPr>
        <w:t>The</w:t>
      </w:r>
      <w:r w:rsidRPr="00E76EE3">
        <w:rPr>
          <w:rFonts w:ascii="Bookman Old Style" w:hAnsi="Bookman Old Style"/>
          <w:sz w:val="20"/>
          <w:szCs w:val="20"/>
          <w:lang w:val="uk-UA"/>
        </w:rPr>
        <w:t xml:space="preserve"> </w:t>
      </w:r>
      <w:r>
        <w:rPr>
          <w:rFonts w:ascii="Bookman Old Style" w:hAnsi="Bookman Old Style"/>
          <w:sz w:val="20"/>
          <w:szCs w:val="20"/>
          <w:lang w:val="en-US"/>
        </w:rPr>
        <w:t>decision</w:t>
      </w:r>
      <w:r w:rsidRPr="00E76EE3">
        <w:rPr>
          <w:rFonts w:ascii="Bookman Old Style" w:hAnsi="Bookman Old Style"/>
          <w:sz w:val="20"/>
          <w:szCs w:val="20"/>
          <w:lang w:val="uk-UA"/>
        </w:rPr>
        <w:t xml:space="preserve"> </w:t>
      </w:r>
      <w:r>
        <w:rPr>
          <w:rFonts w:ascii="Bookman Old Style" w:hAnsi="Bookman Old Style"/>
          <w:sz w:val="20"/>
          <w:szCs w:val="20"/>
          <w:lang w:val="en-US"/>
        </w:rPr>
        <w:t>to</w:t>
      </w:r>
      <w:r w:rsidRPr="00E76EE3">
        <w:rPr>
          <w:rFonts w:ascii="Bookman Old Style" w:hAnsi="Bookman Old Style"/>
          <w:sz w:val="20"/>
          <w:szCs w:val="20"/>
          <w:lang w:val="uk-UA"/>
        </w:rPr>
        <w:t xml:space="preserve"> </w:t>
      </w:r>
      <w:r>
        <w:rPr>
          <w:rFonts w:ascii="Bookman Old Style" w:hAnsi="Bookman Old Style"/>
          <w:sz w:val="20"/>
          <w:szCs w:val="20"/>
          <w:lang w:val="en-US"/>
        </w:rPr>
        <w:t>update</w:t>
      </w:r>
      <w:r w:rsidRPr="00E76EE3">
        <w:rPr>
          <w:rFonts w:ascii="Bookman Old Style" w:hAnsi="Bookman Old Style"/>
          <w:sz w:val="20"/>
          <w:szCs w:val="20"/>
          <w:lang w:val="uk-UA"/>
        </w:rPr>
        <w:t xml:space="preserve"> </w:t>
      </w:r>
      <w:r>
        <w:rPr>
          <w:rFonts w:ascii="Bookman Old Style" w:hAnsi="Bookman Old Style"/>
          <w:sz w:val="20"/>
          <w:szCs w:val="20"/>
          <w:lang w:val="en-US"/>
        </w:rPr>
        <w:t>the</w:t>
      </w:r>
      <w:r w:rsidRPr="00E76EE3">
        <w:rPr>
          <w:rFonts w:ascii="Bookman Old Style" w:hAnsi="Bookman Old Style"/>
          <w:sz w:val="20"/>
          <w:szCs w:val="20"/>
          <w:lang w:val="uk-UA"/>
        </w:rPr>
        <w:t xml:space="preserve"> </w:t>
      </w:r>
      <w:r>
        <w:rPr>
          <w:rFonts w:ascii="Bookman Old Style" w:hAnsi="Bookman Old Style"/>
          <w:sz w:val="20"/>
          <w:szCs w:val="20"/>
          <w:lang w:val="en-US"/>
        </w:rPr>
        <w:t>ratings</w:t>
      </w:r>
      <w:r w:rsidRPr="00E76EE3">
        <w:rPr>
          <w:rFonts w:ascii="Bookman Old Style" w:hAnsi="Bookman Old Style"/>
          <w:sz w:val="20"/>
          <w:szCs w:val="20"/>
          <w:lang w:val="uk-UA"/>
        </w:rPr>
        <w:t xml:space="preserve"> </w:t>
      </w:r>
      <w:r>
        <w:rPr>
          <w:rFonts w:ascii="Bookman Old Style" w:hAnsi="Bookman Old Style"/>
          <w:sz w:val="20"/>
          <w:szCs w:val="20"/>
          <w:lang w:val="en-US"/>
        </w:rPr>
        <w:t>of</w:t>
      </w:r>
      <w:r w:rsidRPr="00E76EE3">
        <w:rPr>
          <w:rFonts w:ascii="Bookman Old Style" w:hAnsi="Bookman Old Style"/>
          <w:sz w:val="20"/>
          <w:szCs w:val="20"/>
          <w:lang w:val="uk-UA"/>
        </w:rPr>
        <w:t xml:space="preserve"> </w:t>
      </w:r>
      <w:r>
        <w:rPr>
          <w:rFonts w:ascii="Bookman Old Style" w:hAnsi="Bookman Old Style"/>
          <w:sz w:val="20"/>
          <w:szCs w:val="20"/>
          <w:lang w:val="en-US"/>
        </w:rPr>
        <w:t>JSC</w:t>
      </w:r>
      <w:r w:rsidRPr="005D36D5">
        <w:rPr>
          <w:rFonts w:ascii="Bookman Old Style" w:hAnsi="Bookman Old Style"/>
          <w:sz w:val="20"/>
          <w:szCs w:val="20"/>
          <w:lang w:val="uk-UA"/>
        </w:rPr>
        <w:t xml:space="preserve"> “</w:t>
      </w:r>
      <w:r>
        <w:rPr>
          <w:rFonts w:ascii="Bookman Old Style" w:hAnsi="Bookman Old Style"/>
          <w:sz w:val="20"/>
          <w:szCs w:val="20"/>
          <w:lang w:val="en-US"/>
        </w:rPr>
        <w:t>CB</w:t>
      </w:r>
      <w:r w:rsidRPr="005D36D5">
        <w:rPr>
          <w:rFonts w:ascii="Bookman Old Style" w:hAnsi="Bookman Old Style"/>
          <w:sz w:val="20"/>
          <w:szCs w:val="20"/>
          <w:lang w:val="uk-UA"/>
        </w:rPr>
        <w:t xml:space="preserve"> “</w:t>
      </w:r>
      <w:r>
        <w:rPr>
          <w:rFonts w:ascii="Bookman Old Style" w:hAnsi="Bookman Old Style"/>
          <w:sz w:val="20"/>
          <w:szCs w:val="20"/>
          <w:lang w:val="en-US"/>
        </w:rPr>
        <w:t>PRIVATBANK</w:t>
      </w:r>
      <w:r w:rsidRPr="005D36D5">
        <w:rPr>
          <w:rFonts w:ascii="Bookman Old Style" w:hAnsi="Bookman Old Style"/>
          <w:sz w:val="20"/>
          <w:szCs w:val="20"/>
          <w:lang w:val="uk-UA"/>
        </w:rPr>
        <w:t xml:space="preserve">” </w:t>
      </w:r>
      <w:r>
        <w:rPr>
          <w:rFonts w:ascii="Bookman Old Style" w:hAnsi="Bookman Old Style"/>
          <w:sz w:val="20"/>
          <w:szCs w:val="20"/>
          <w:lang w:val="en-US"/>
        </w:rPr>
        <w:t>is</w:t>
      </w:r>
      <w:r w:rsidRPr="00E76EE3">
        <w:rPr>
          <w:rFonts w:ascii="Bookman Old Style" w:hAnsi="Bookman Old Style"/>
          <w:sz w:val="20"/>
          <w:szCs w:val="20"/>
          <w:lang w:val="uk-UA"/>
        </w:rPr>
        <w:t xml:space="preserve"> </w:t>
      </w:r>
      <w:r>
        <w:rPr>
          <w:rFonts w:ascii="Bookman Old Style" w:hAnsi="Bookman Old Style"/>
          <w:sz w:val="20"/>
          <w:szCs w:val="20"/>
          <w:lang w:val="en-US"/>
        </w:rPr>
        <w:t>taken</w:t>
      </w:r>
      <w:r w:rsidRPr="00E76EE3">
        <w:rPr>
          <w:rFonts w:ascii="Bookman Old Style" w:hAnsi="Bookman Old Style"/>
          <w:sz w:val="20"/>
          <w:szCs w:val="20"/>
          <w:lang w:val="uk-UA"/>
        </w:rPr>
        <w:t xml:space="preserve"> </w:t>
      </w:r>
      <w:r>
        <w:rPr>
          <w:rFonts w:ascii="Bookman Old Style" w:hAnsi="Bookman Old Style"/>
          <w:sz w:val="20"/>
          <w:szCs w:val="20"/>
          <w:lang w:val="en-US"/>
        </w:rPr>
        <w:t>according</w:t>
      </w:r>
      <w:r w:rsidRPr="000447B7">
        <w:rPr>
          <w:rFonts w:ascii="Bookman Old Style" w:hAnsi="Bookman Old Style"/>
          <w:sz w:val="20"/>
          <w:szCs w:val="20"/>
          <w:lang w:val="uk-UA"/>
        </w:rPr>
        <w:t xml:space="preserve"> </w:t>
      </w:r>
      <w:r>
        <w:rPr>
          <w:rFonts w:ascii="Bookman Old Style" w:hAnsi="Bookman Old Style"/>
          <w:sz w:val="20"/>
          <w:szCs w:val="20"/>
          <w:lang w:val="en-US"/>
        </w:rPr>
        <w:t>to</w:t>
      </w:r>
      <w:r w:rsidRPr="00E76EE3">
        <w:rPr>
          <w:rFonts w:ascii="Bookman Old Style" w:hAnsi="Bookman Old Style"/>
          <w:sz w:val="20"/>
          <w:szCs w:val="20"/>
          <w:lang w:val="uk-UA"/>
        </w:rPr>
        <w:t xml:space="preserve"> </w:t>
      </w:r>
      <w:r>
        <w:rPr>
          <w:rFonts w:ascii="Bookman Old Style" w:hAnsi="Bookman Old Style"/>
          <w:sz w:val="20"/>
          <w:szCs w:val="20"/>
          <w:lang w:val="en-US"/>
        </w:rPr>
        <w:t>the</w:t>
      </w:r>
      <w:r w:rsidRPr="00E76EE3">
        <w:rPr>
          <w:rFonts w:ascii="Bookman Old Style" w:hAnsi="Bookman Old Style"/>
          <w:sz w:val="20"/>
          <w:szCs w:val="20"/>
          <w:lang w:val="uk-UA"/>
        </w:rPr>
        <w:t xml:space="preserve"> </w:t>
      </w:r>
      <w:r>
        <w:rPr>
          <w:rFonts w:ascii="Bookman Old Style" w:hAnsi="Bookman Old Style"/>
          <w:sz w:val="20"/>
          <w:szCs w:val="20"/>
          <w:lang w:val="en-US"/>
        </w:rPr>
        <w:t>analysis</w:t>
      </w:r>
      <w:r w:rsidRPr="00E76EE3">
        <w:rPr>
          <w:rFonts w:ascii="Bookman Old Style" w:hAnsi="Bookman Old Style"/>
          <w:sz w:val="20"/>
          <w:szCs w:val="20"/>
          <w:lang w:val="uk-UA"/>
        </w:rPr>
        <w:t xml:space="preserve"> </w:t>
      </w:r>
      <w:r>
        <w:rPr>
          <w:rFonts w:ascii="Bookman Old Style" w:hAnsi="Bookman Old Style"/>
          <w:sz w:val="20"/>
          <w:szCs w:val="20"/>
          <w:lang w:val="en-US"/>
        </w:rPr>
        <w:t>results</w:t>
      </w:r>
      <w:r w:rsidRPr="00E76EE3">
        <w:rPr>
          <w:rFonts w:ascii="Bookman Old Style" w:hAnsi="Bookman Old Style"/>
          <w:sz w:val="20"/>
          <w:szCs w:val="20"/>
          <w:lang w:val="uk-UA"/>
        </w:rPr>
        <w:t xml:space="preserve"> </w:t>
      </w:r>
      <w:r>
        <w:rPr>
          <w:rFonts w:ascii="Bookman Old Style" w:hAnsi="Bookman Old Style"/>
          <w:sz w:val="20"/>
          <w:szCs w:val="20"/>
          <w:lang w:val="en-US"/>
        </w:rPr>
        <w:t>of</w:t>
      </w:r>
      <w:r w:rsidRPr="00E76EE3">
        <w:rPr>
          <w:rFonts w:ascii="Bookman Old Style" w:hAnsi="Bookman Old Style"/>
          <w:sz w:val="20"/>
          <w:szCs w:val="20"/>
          <w:lang w:val="uk-UA"/>
        </w:rPr>
        <w:t xml:space="preserve"> </w:t>
      </w:r>
      <w:r>
        <w:rPr>
          <w:rFonts w:ascii="Bookman Old Style" w:hAnsi="Bookman Old Style"/>
          <w:sz w:val="20"/>
          <w:szCs w:val="20"/>
          <w:lang w:val="en-US"/>
        </w:rPr>
        <w:t>the</w:t>
      </w:r>
      <w:r w:rsidRPr="00E76EE3">
        <w:rPr>
          <w:rFonts w:ascii="Bookman Old Style" w:hAnsi="Bookman Old Style"/>
          <w:sz w:val="20"/>
          <w:szCs w:val="20"/>
          <w:lang w:val="uk-UA"/>
        </w:rPr>
        <w:t xml:space="preserve"> </w:t>
      </w:r>
      <w:r>
        <w:rPr>
          <w:rFonts w:ascii="Bookman Old Style" w:hAnsi="Bookman Old Style"/>
          <w:sz w:val="20"/>
          <w:szCs w:val="20"/>
          <w:lang w:val="en-US"/>
        </w:rPr>
        <w:t>Bank</w:t>
      </w:r>
      <w:r w:rsidRPr="00E76EE3">
        <w:rPr>
          <w:rFonts w:ascii="Bookman Old Style" w:hAnsi="Bookman Old Style"/>
          <w:sz w:val="20"/>
          <w:szCs w:val="20"/>
          <w:lang w:val="uk-UA"/>
        </w:rPr>
        <w:t>’</w:t>
      </w:r>
      <w:r>
        <w:rPr>
          <w:rFonts w:ascii="Bookman Old Style" w:hAnsi="Bookman Old Style"/>
          <w:sz w:val="20"/>
          <w:szCs w:val="20"/>
          <w:lang w:val="en-US"/>
        </w:rPr>
        <w:t>s</w:t>
      </w:r>
      <w:r w:rsidRPr="00E76EE3">
        <w:rPr>
          <w:rFonts w:ascii="Bookman Old Style" w:hAnsi="Bookman Old Style"/>
          <w:sz w:val="20"/>
          <w:szCs w:val="20"/>
          <w:lang w:val="uk-UA"/>
        </w:rPr>
        <w:t xml:space="preserve"> </w:t>
      </w:r>
      <w:r>
        <w:rPr>
          <w:rFonts w:ascii="Bookman Old Style" w:hAnsi="Bookman Old Style"/>
          <w:sz w:val="20"/>
          <w:szCs w:val="20"/>
          <w:lang w:val="en-US"/>
        </w:rPr>
        <w:t>activity</w:t>
      </w:r>
      <w:r w:rsidRPr="00E76EE3">
        <w:rPr>
          <w:rFonts w:ascii="Bookman Old Style" w:hAnsi="Bookman Old Style"/>
          <w:sz w:val="20"/>
          <w:szCs w:val="20"/>
          <w:lang w:val="uk-UA"/>
        </w:rPr>
        <w:t xml:space="preserve"> </w:t>
      </w:r>
      <w:r>
        <w:rPr>
          <w:rFonts w:ascii="Bookman Old Style" w:hAnsi="Bookman Old Style"/>
          <w:sz w:val="20"/>
          <w:szCs w:val="20"/>
          <w:lang w:val="en-US"/>
        </w:rPr>
        <w:t>for</w:t>
      </w:r>
      <w:r w:rsidRPr="00BC30B9">
        <w:rPr>
          <w:rFonts w:ascii="Bookman Old Style" w:hAnsi="Bookman Old Style"/>
          <w:sz w:val="20"/>
          <w:szCs w:val="20"/>
          <w:lang w:val="uk-UA"/>
        </w:rPr>
        <w:t xml:space="preserve"> </w:t>
      </w:r>
      <w:r>
        <w:rPr>
          <w:rFonts w:ascii="Bookman Old Style" w:hAnsi="Bookman Old Style"/>
          <w:sz w:val="20"/>
          <w:szCs w:val="20"/>
          <w:lang w:val="en-US"/>
        </w:rPr>
        <w:t>the</w:t>
      </w:r>
      <w:r w:rsidRPr="00BC30B9">
        <w:rPr>
          <w:rFonts w:ascii="Bookman Old Style" w:hAnsi="Bookman Old Style"/>
          <w:sz w:val="20"/>
          <w:szCs w:val="20"/>
          <w:lang w:val="uk-UA"/>
        </w:rPr>
        <w:t xml:space="preserve"> 12 </w:t>
      </w:r>
      <w:r>
        <w:rPr>
          <w:rFonts w:ascii="Bookman Old Style" w:hAnsi="Bookman Old Style"/>
          <w:sz w:val="20"/>
          <w:szCs w:val="20"/>
          <w:lang w:val="en-US"/>
        </w:rPr>
        <w:t>months</w:t>
      </w:r>
      <w:r w:rsidRPr="00BC30B9">
        <w:rPr>
          <w:rFonts w:ascii="Bookman Old Style" w:hAnsi="Bookman Old Style"/>
          <w:sz w:val="20"/>
          <w:szCs w:val="20"/>
          <w:lang w:val="uk-UA"/>
        </w:rPr>
        <w:t xml:space="preserve"> </w:t>
      </w:r>
      <w:r>
        <w:rPr>
          <w:rFonts w:ascii="Bookman Old Style" w:hAnsi="Bookman Old Style"/>
          <w:sz w:val="20"/>
          <w:szCs w:val="20"/>
          <w:lang w:val="en-US"/>
        </w:rPr>
        <w:t>of</w:t>
      </w:r>
      <w:r>
        <w:rPr>
          <w:rFonts w:ascii="Bookman Old Style" w:hAnsi="Bookman Old Style"/>
          <w:sz w:val="20"/>
          <w:szCs w:val="20"/>
          <w:lang w:val="uk-UA"/>
        </w:rPr>
        <w:t xml:space="preserve"> 201</w:t>
      </w:r>
      <w:r w:rsidRPr="00BC30B9">
        <w:rPr>
          <w:rFonts w:ascii="Bookman Old Style" w:hAnsi="Bookman Old Style"/>
          <w:sz w:val="20"/>
          <w:szCs w:val="20"/>
          <w:lang w:val="uk-UA"/>
        </w:rPr>
        <w:t>7</w:t>
      </w:r>
      <w:r>
        <w:rPr>
          <w:rFonts w:ascii="Bookman Old Style" w:hAnsi="Bookman Old Style"/>
          <w:sz w:val="20"/>
          <w:szCs w:val="20"/>
          <w:lang w:val="en-US"/>
        </w:rPr>
        <w:t xml:space="preserve"> and for the first half of 2018</w:t>
      </w:r>
      <w:r w:rsidRPr="00BC30B9">
        <w:rPr>
          <w:rFonts w:ascii="Bookman Old Style" w:hAnsi="Bookman Old Style"/>
          <w:sz w:val="20"/>
          <w:szCs w:val="20"/>
          <w:lang w:val="uk-UA"/>
        </w:rPr>
        <w:t xml:space="preserve">, </w:t>
      </w:r>
      <w:r>
        <w:rPr>
          <w:rFonts w:ascii="Bookman Old Style" w:hAnsi="Bookman Old Style"/>
          <w:sz w:val="20"/>
          <w:szCs w:val="20"/>
          <w:lang w:val="en-US"/>
        </w:rPr>
        <w:t>as</w:t>
      </w:r>
      <w:r w:rsidRPr="00BC30B9">
        <w:rPr>
          <w:rFonts w:ascii="Bookman Old Style" w:hAnsi="Bookman Old Style"/>
          <w:sz w:val="20"/>
          <w:szCs w:val="20"/>
          <w:lang w:val="uk-UA"/>
        </w:rPr>
        <w:t xml:space="preserve"> </w:t>
      </w:r>
      <w:r>
        <w:rPr>
          <w:rFonts w:ascii="Bookman Old Style" w:hAnsi="Bookman Old Style"/>
          <w:sz w:val="20"/>
          <w:szCs w:val="20"/>
          <w:lang w:val="en-US"/>
        </w:rPr>
        <w:t>well</w:t>
      </w:r>
      <w:r w:rsidRPr="00BC30B9">
        <w:rPr>
          <w:rFonts w:ascii="Bookman Old Style" w:hAnsi="Bookman Old Style"/>
          <w:sz w:val="20"/>
          <w:szCs w:val="20"/>
          <w:lang w:val="uk-UA"/>
        </w:rPr>
        <w:t xml:space="preserve"> </w:t>
      </w:r>
      <w:r>
        <w:rPr>
          <w:rFonts w:ascii="Bookman Old Style" w:hAnsi="Bookman Old Style"/>
          <w:sz w:val="20"/>
          <w:szCs w:val="20"/>
          <w:lang w:val="en-US"/>
        </w:rPr>
        <w:t>as</w:t>
      </w:r>
      <w:r w:rsidRPr="00BC30B9">
        <w:rPr>
          <w:rFonts w:ascii="Bookman Old Style" w:hAnsi="Bookman Old Style"/>
          <w:sz w:val="20"/>
          <w:szCs w:val="20"/>
          <w:lang w:val="uk-UA"/>
        </w:rPr>
        <w:t xml:space="preserve"> </w:t>
      </w:r>
      <w:r>
        <w:rPr>
          <w:rFonts w:ascii="Bookman Old Style" w:hAnsi="Bookman Old Style"/>
          <w:sz w:val="20"/>
          <w:szCs w:val="20"/>
          <w:lang w:val="en-US"/>
        </w:rPr>
        <w:t>data</w:t>
      </w:r>
      <w:r w:rsidRPr="00BC30B9">
        <w:rPr>
          <w:rFonts w:ascii="Bookman Old Style" w:hAnsi="Bookman Old Style"/>
          <w:sz w:val="20"/>
          <w:szCs w:val="20"/>
          <w:lang w:val="uk-UA"/>
        </w:rPr>
        <w:t xml:space="preserve"> </w:t>
      </w:r>
      <w:r>
        <w:rPr>
          <w:rFonts w:ascii="Bookman Old Style" w:hAnsi="Bookman Old Style"/>
          <w:sz w:val="20"/>
          <w:szCs w:val="20"/>
          <w:lang w:val="en-US"/>
        </w:rPr>
        <w:t>of</w:t>
      </w:r>
      <w:r w:rsidRPr="00BC30B9">
        <w:rPr>
          <w:rFonts w:ascii="Bookman Old Style" w:hAnsi="Bookman Old Style"/>
          <w:sz w:val="20"/>
          <w:szCs w:val="20"/>
          <w:lang w:val="uk-UA"/>
        </w:rPr>
        <w:t xml:space="preserve"> </w:t>
      </w:r>
      <w:r>
        <w:rPr>
          <w:rFonts w:ascii="Bookman Old Style" w:hAnsi="Bookman Old Style"/>
          <w:sz w:val="20"/>
          <w:szCs w:val="20"/>
          <w:lang w:val="en-US"/>
        </w:rPr>
        <w:t>the</w:t>
      </w:r>
      <w:r w:rsidRPr="00BC30B9">
        <w:rPr>
          <w:rFonts w:ascii="Bookman Old Style" w:hAnsi="Bookman Old Style"/>
          <w:sz w:val="20"/>
          <w:szCs w:val="20"/>
          <w:lang w:val="uk-UA"/>
        </w:rPr>
        <w:t xml:space="preserve"> </w:t>
      </w:r>
      <w:r>
        <w:rPr>
          <w:rFonts w:ascii="Bookman Old Style" w:hAnsi="Bookman Old Style"/>
          <w:sz w:val="20"/>
          <w:szCs w:val="20"/>
          <w:lang w:val="en-US"/>
        </w:rPr>
        <w:t>Bank</w:t>
      </w:r>
      <w:r w:rsidRPr="00BC30B9">
        <w:rPr>
          <w:rFonts w:ascii="Bookman Old Style" w:hAnsi="Bookman Old Style"/>
          <w:sz w:val="20"/>
          <w:szCs w:val="20"/>
          <w:lang w:val="uk-UA"/>
        </w:rPr>
        <w:t>’</w:t>
      </w:r>
      <w:r>
        <w:rPr>
          <w:rFonts w:ascii="Bookman Old Style" w:hAnsi="Bookman Old Style"/>
          <w:sz w:val="20"/>
          <w:szCs w:val="20"/>
          <w:lang w:val="en-US"/>
        </w:rPr>
        <w:t>s</w:t>
      </w:r>
      <w:r w:rsidRPr="00BC30B9">
        <w:rPr>
          <w:rFonts w:ascii="Bookman Old Style" w:hAnsi="Bookman Old Style"/>
          <w:sz w:val="20"/>
          <w:szCs w:val="20"/>
          <w:lang w:val="uk-UA"/>
        </w:rPr>
        <w:t xml:space="preserve"> </w:t>
      </w:r>
      <w:r>
        <w:rPr>
          <w:rFonts w:ascii="Bookman Old Style" w:hAnsi="Bookman Old Style"/>
          <w:sz w:val="20"/>
          <w:szCs w:val="20"/>
          <w:lang w:val="en-US"/>
        </w:rPr>
        <w:t>statistical</w:t>
      </w:r>
      <w:r w:rsidRPr="00BC30B9">
        <w:rPr>
          <w:rFonts w:ascii="Bookman Old Style" w:hAnsi="Bookman Old Style"/>
          <w:sz w:val="20"/>
          <w:szCs w:val="20"/>
          <w:lang w:val="uk-UA"/>
        </w:rPr>
        <w:t xml:space="preserve"> </w:t>
      </w:r>
      <w:r>
        <w:rPr>
          <w:rFonts w:ascii="Bookman Old Style" w:hAnsi="Bookman Old Style"/>
          <w:sz w:val="20"/>
          <w:szCs w:val="20"/>
          <w:lang w:val="en-US"/>
        </w:rPr>
        <w:t>statements</w:t>
      </w:r>
      <w:r w:rsidRPr="00BC30B9">
        <w:rPr>
          <w:rFonts w:ascii="Bookman Old Style" w:hAnsi="Bookman Old Style"/>
          <w:sz w:val="20"/>
          <w:szCs w:val="20"/>
          <w:lang w:val="uk-UA"/>
        </w:rPr>
        <w:t xml:space="preserve"> </w:t>
      </w:r>
      <w:r>
        <w:rPr>
          <w:rFonts w:ascii="Bookman Old Style" w:hAnsi="Bookman Old Style"/>
          <w:sz w:val="20"/>
          <w:szCs w:val="20"/>
          <w:lang w:val="en-US"/>
        </w:rPr>
        <w:t>for</w:t>
      </w:r>
      <w:r w:rsidRPr="00BC30B9">
        <w:rPr>
          <w:rFonts w:ascii="Bookman Old Style" w:hAnsi="Bookman Old Style"/>
          <w:sz w:val="20"/>
          <w:szCs w:val="20"/>
          <w:lang w:val="uk-UA"/>
        </w:rPr>
        <w:t xml:space="preserve"> </w:t>
      </w:r>
      <w:r>
        <w:rPr>
          <w:rFonts w:ascii="Bookman Old Style" w:hAnsi="Bookman Old Style"/>
          <w:sz w:val="20"/>
          <w:szCs w:val="20"/>
          <w:lang w:val="en-US"/>
        </w:rPr>
        <w:t>January</w:t>
      </w:r>
      <w:r w:rsidRPr="00BC30B9">
        <w:rPr>
          <w:rFonts w:ascii="Bookman Old Style" w:hAnsi="Bookman Old Style"/>
          <w:sz w:val="20"/>
          <w:szCs w:val="20"/>
          <w:lang w:val="uk-UA"/>
        </w:rPr>
        <w:t>-</w:t>
      </w:r>
      <w:r>
        <w:rPr>
          <w:rFonts w:ascii="Bookman Old Style" w:hAnsi="Bookman Old Style"/>
          <w:sz w:val="20"/>
          <w:szCs w:val="20"/>
          <w:lang w:val="en-US"/>
        </w:rPr>
        <w:t>August</w:t>
      </w:r>
      <w:r w:rsidRPr="00BC30B9">
        <w:rPr>
          <w:rFonts w:ascii="Bookman Old Style" w:hAnsi="Bookman Old Style"/>
          <w:sz w:val="20"/>
          <w:szCs w:val="20"/>
          <w:lang w:val="uk-UA"/>
        </w:rPr>
        <w:t>, 2018.</w:t>
      </w:r>
      <w:r>
        <w:rPr>
          <w:rFonts w:ascii="Bookman Old Style" w:hAnsi="Bookman Old Style"/>
          <w:sz w:val="20"/>
          <w:szCs w:val="20"/>
          <w:lang w:val="en-US"/>
        </w:rPr>
        <w:t xml:space="preserve"> </w:t>
      </w:r>
    </w:p>
    <w:p w14:paraId="233A422E" w14:textId="77777777" w:rsidR="00F7529B" w:rsidRPr="00AF79C9" w:rsidRDefault="00F7529B" w:rsidP="003D1FFD">
      <w:pPr>
        <w:rPr>
          <w:rFonts w:ascii="Bookman Old Style" w:hAnsi="Bookman Old Style"/>
          <w:sz w:val="20"/>
          <w:szCs w:val="20"/>
          <w:lang w:val="uk-UA"/>
        </w:rPr>
      </w:pPr>
    </w:p>
    <w:p w14:paraId="0D09A931" w14:textId="2BDC9E4E" w:rsidR="003D1FFD" w:rsidRPr="00AF79C9" w:rsidRDefault="003D1FFD" w:rsidP="003D1FFD">
      <w:pPr>
        <w:rPr>
          <w:rFonts w:ascii="Bookman Old Style" w:hAnsi="Bookman Old Style"/>
          <w:b/>
          <w:sz w:val="20"/>
          <w:szCs w:val="20"/>
          <w:lang w:val="uk-UA"/>
        </w:rPr>
      </w:pPr>
      <w:r w:rsidRPr="00AF79C9">
        <w:rPr>
          <w:rFonts w:ascii="Bookman Old Style" w:hAnsi="Bookman Old Style"/>
          <w:b/>
          <w:sz w:val="20"/>
          <w:szCs w:val="20"/>
          <w:lang w:val="uk-UA"/>
        </w:rPr>
        <w:tab/>
      </w:r>
      <w:r w:rsidR="006737CE">
        <w:rPr>
          <w:rFonts w:ascii="Bookman Old Style" w:hAnsi="Bookman Old Style"/>
          <w:b/>
          <w:sz w:val="20"/>
          <w:szCs w:val="20"/>
          <w:lang w:val="en-US"/>
        </w:rPr>
        <w:t>Balance</w:t>
      </w:r>
      <w:r w:rsidR="006737CE" w:rsidRPr="00DF50B4">
        <w:rPr>
          <w:rFonts w:ascii="Bookman Old Style" w:hAnsi="Bookman Old Style"/>
          <w:b/>
          <w:sz w:val="20"/>
          <w:szCs w:val="20"/>
          <w:lang w:val="uk-UA"/>
        </w:rPr>
        <w:t xml:space="preserve"> </w:t>
      </w:r>
      <w:r w:rsidR="006737CE">
        <w:rPr>
          <w:rFonts w:ascii="Bookman Old Style" w:hAnsi="Bookman Old Style"/>
          <w:b/>
          <w:sz w:val="20"/>
          <w:szCs w:val="20"/>
          <w:lang w:val="en-US"/>
        </w:rPr>
        <w:t>sheet</w:t>
      </w:r>
      <w:r w:rsidR="006737CE" w:rsidRPr="00DF50B4">
        <w:rPr>
          <w:rFonts w:ascii="Bookman Old Style" w:hAnsi="Bookman Old Style"/>
          <w:b/>
          <w:sz w:val="20"/>
          <w:szCs w:val="20"/>
          <w:lang w:val="uk-UA"/>
        </w:rPr>
        <w:t xml:space="preserve"> </w:t>
      </w:r>
      <w:r w:rsidR="006737CE">
        <w:rPr>
          <w:rFonts w:ascii="Bookman Old Style" w:hAnsi="Bookman Old Style"/>
          <w:b/>
          <w:sz w:val="20"/>
          <w:szCs w:val="20"/>
          <w:lang w:val="en-US"/>
        </w:rPr>
        <w:t>indicators</w:t>
      </w:r>
    </w:p>
    <w:p w14:paraId="46AC8568" w14:textId="47D13F73" w:rsidR="00F7529B" w:rsidRPr="00AF79C9" w:rsidRDefault="00DF50B4" w:rsidP="006160AF">
      <w:pPr>
        <w:ind w:firstLine="708"/>
        <w:jc w:val="both"/>
        <w:rPr>
          <w:rFonts w:ascii="Bookman Old Style" w:hAnsi="Bookman Old Style"/>
          <w:sz w:val="20"/>
          <w:szCs w:val="20"/>
          <w:lang w:val="uk-UA"/>
        </w:rPr>
      </w:pPr>
      <w:r>
        <w:rPr>
          <w:rFonts w:ascii="Bookman Old Style" w:hAnsi="Bookman Old Style"/>
          <w:sz w:val="20"/>
          <w:szCs w:val="20"/>
          <w:lang w:val="en-US"/>
        </w:rPr>
        <w:t>Dynamics</w:t>
      </w:r>
      <w:r w:rsidRPr="00A16A19">
        <w:rPr>
          <w:rFonts w:ascii="Bookman Old Style" w:hAnsi="Bookman Old Style"/>
          <w:sz w:val="20"/>
          <w:szCs w:val="20"/>
          <w:lang w:val="uk-UA"/>
        </w:rPr>
        <w:t xml:space="preserve"> </w:t>
      </w:r>
      <w:r>
        <w:rPr>
          <w:rFonts w:ascii="Bookman Old Style" w:hAnsi="Bookman Old Style"/>
          <w:sz w:val="20"/>
          <w:szCs w:val="20"/>
          <w:lang w:val="en-US"/>
        </w:rPr>
        <w:t>of</w:t>
      </w:r>
      <w:r w:rsidRPr="00A16A19">
        <w:rPr>
          <w:rFonts w:ascii="Bookman Old Style" w:hAnsi="Bookman Old Style"/>
          <w:sz w:val="20"/>
          <w:szCs w:val="20"/>
          <w:lang w:val="uk-UA"/>
        </w:rPr>
        <w:t xml:space="preserve"> </w:t>
      </w:r>
      <w:r>
        <w:rPr>
          <w:rFonts w:ascii="Bookman Old Style" w:hAnsi="Bookman Old Style"/>
          <w:sz w:val="20"/>
          <w:szCs w:val="20"/>
          <w:lang w:val="en-US"/>
        </w:rPr>
        <w:t>the</w:t>
      </w:r>
      <w:r w:rsidRPr="00A16A19">
        <w:rPr>
          <w:rFonts w:ascii="Bookman Old Style" w:hAnsi="Bookman Old Style"/>
          <w:sz w:val="20"/>
          <w:szCs w:val="20"/>
          <w:lang w:val="uk-UA"/>
        </w:rPr>
        <w:t xml:space="preserve"> </w:t>
      </w:r>
      <w:r>
        <w:rPr>
          <w:rFonts w:ascii="Bookman Old Style" w:hAnsi="Bookman Old Style"/>
          <w:sz w:val="20"/>
          <w:szCs w:val="20"/>
          <w:lang w:val="en-US"/>
        </w:rPr>
        <w:t>Bank</w:t>
      </w:r>
      <w:r w:rsidRPr="00A16A19">
        <w:rPr>
          <w:rFonts w:ascii="Bookman Old Style" w:hAnsi="Bookman Old Style"/>
          <w:sz w:val="20"/>
          <w:szCs w:val="20"/>
          <w:lang w:val="uk-UA"/>
        </w:rPr>
        <w:t>’</w:t>
      </w:r>
      <w:r>
        <w:rPr>
          <w:rFonts w:ascii="Bookman Old Style" w:hAnsi="Bookman Old Style"/>
          <w:sz w:val="20"/>
          <w:szCs w:val="20"/>
          <w:lang w:val="en-US"/>
        </w:rPr>
        <w:t>s</w:t>
      </w:r>
      <w:r w:rsidRPr="00A16A19">
        <w:rPr>
          <w:rFonts w:ascii="Bookman Old Style" w:hAnsi="Bookman Old Style"/>
          <w:sz w:val="20"/>
          <w:szCs w:val="20"/>
          <w:lang w:val="uk-UA"/>
        </w:rPr>
        <w:t xml:space="preserve"> </w:t>
      </w:r>
      <w:r>
        <w:rPr>
          <w:rFonts w:ascii="Bookman Old Style" w:hAnsi="Bookman Old Style"/>
          <w:sz w:val="20"/>
          <w:szCs w:val="20"/>
          <w:lang w:val="en-US"/>
        </w:rPr>
        <w:t>key</w:t>
      </w:r>
      <w:r w:rsidRPr="00A16A19">
        <w:rPr>
          <w:rFonts w:ascii="Bookman Old Style" w:hAnsi="Bookman Old Style"/>
          <w:sz w:val="20"/>
          <w:szCs w:val="20"/>
          <w:lang w:val="uk-UA"/>
        </w:rPr>
        <w:t xml:space="preserve"> </w:t>
      </w:r>
      <w:r>
        <w:rPr>
          <w:rFonts w:ascii="Bookman Old Style" w:hAnsi="Bookman Old Style"/>
          <w:sz w:val="20"/>
          <w:szCs w:val="20"/>
          <w:lang w:val="en-US"/>
        </w:rPr>
        <w:t>balance</w:t>
      </w:r>
      <w:r w:rsidRPr="00A16A19">
        <w:rPr>
          <w:rFonts w:ascii="Bookman Old Style" w:hAnsi="Bookman Old Style"/>
          <w:sz w:val="20"/>
          <w:szCs w:val="20"/>
          <w:lang w:val="uk-UA"/>
        </w:rPr>
        <w:t xml:space="preserve"> </w:t>
      </w:r>
      <w:r>
        <w:rPr>
          <w:rFonts w:ascii="Bookman Old Style" w:hAnsi="Bookman Old Style"/>
          <w:sz w:val="20"/>
          <w:szCs w:val="20"/>
          <w:lang w:val="en-US"/>
        </w:rPr>
        <w:t>sheet</w:t>
      </w:r>
      <w:r w:rsidRPr="00A16A19">
        <w:rPr>
          <w:rFonts w:ascii="Bookman Old Style" w:hAnsi="Bookman Old Style"/>
          <w:sz w:val="20"/>
          <w:szCs w:val="20"/>
          <w:lang w:val="uk-UA"/>
        </w:rPr>
        <w:t xml:space="preserve"> </w:t>
      </w:r>
      <w:r>
        <w:rPr>
          <w:rFonts w:ascii="Bookman Old Style" w:hAnsi="Bookman Old Style"/>
          <w:sz w:val="20"/>
          <w:szCs w:val="20"/>
          <w:lang w:val="en-US"/>
        </w:rPr>
        <w:t>indicators</w:t>
      </w:r>
      <w:r w:rsidRPr="00A16A19">
        <w:rPr>
          <w:rFonts w:ascii="Bookman Old Style" w:hAnsi="Bookman Old Style"/>
          <w:sz w:val="20"/>
          <w:szCs w:val="20"/>
          <w:lang w:val="uk-UA"/>
        </w:rPr>
        <w:t xml:space="preserve"> </w:t>
      </w:r>
      <w:r>
        <w:rPr>
          <w:rFonts w:ascii="Bookman Old Style" w:hAnsi="Bookman Old Style"/>
          <w:sz w:val="20"/>
          <w:szCs w:val="20"/>
          <w:lang w:val="en-US"/>
        </w:rPr>
        <w:t>during</w:t>
      </w:r>
      <w:r w:rsidRPr="00A16A19">
        <w:rPr>
          <w:rFonts w:ascii="Bookman Old Style" w:hAnsi="Bookman Old Style"/>
          <w:sz w:val="20"/>
          <w:szCs w:val="20"/>
          <w:lang w:val="uk-UA"/>
        </w:rPr>
        <w:t xml:space="preserve"> </w:t>
      </w:r>
      <w:r>
        <w:rPr>
          <w:rFonts w:ascii="Bookman Old Style" w:hAnsi="Bookman Old Style"/>
          <w:sz w:val="20"/>
          <w:szCs w:val="20"/>
          <w:lang w:val="en-US"/>
        </w:rPr>
        <w:t>the</w:t>
      </w:r>
      <w:r w:rsidRPr="00A16A19">
        <w:rPr>
          <w:rFonts w:ascii="Bookman Old Style" w:hAnsi="Bookman Old Style"/>
          <w:sz w:val="20"/>
          <w:szCs w:val="20"/>
          <w:lang w:val="uk-UA"/>
        </w:rPr>
        <w:t xml:space="preserve"> </w:t>
      </w:r>
      <w:r>
        <w:rPr>
          <w:rFonts w:ascii="Bookman Old Style" w:hAnsi="Bookman Old Style"/>
          <w:sz w:val="20"/>
          <w:szCs w:val="20"/>
          <w:lang w:val="en-US"/>
        </w:rPr>
        <w:t>first</w:t>
      </w:r>
      <w:r w:rsidRPr="00DF50B4">
        <w:rPr>
          <w:rFonts w:ascii="Bookman Old Style" w:hAnsi="Bookman Old Style"/>
          <w:sz w:val="20"/>
          <w:szCs w:val="20"/>
          <w:lang w:val="uk-UA"/>
        </w:rPr>
        <w:t xml:space="preserve"> </w:t>
      </w:r>
      <w:r>
        <w:rPr>
          <w:rFonts w:ascii="Bookman Old Style" w:hAnsi="Bookman Old Style"/>
          <w:sz w:val="20"/>
          <w:szCs w:val="20"/>
          <w:lang w:val="en-US"/>
        </w:rPr>
        <w:t>half</w:t>
      </w:r>
      <w:r w:rsidRPr="00A16A19">
        <w:rPr>
          <w:rFonts w:ascii="Bookman Old Style" w:hAnsi="Bookman Old Style"/>
          <w:sz w:val="20"/>
          <w:szCs w:val="20"/>
          <w:lang w:val="uk-UA"/>
        </w:rPr>
        <w:t xml:space="preserve"> </w:t>
      </w:r>
      <w:r>
        <w:rPr>
          <w:rFonts w:ascii="Bookman Old Style" w:hAnsi="Bookman Old Style"/>
          <w:sz w:val="20"/>
          <w:szCs w:val="20"/>
          <w:lang w:val="en-US"/>
        </w:rPr>
        <w:t>of</w:t>
      </w:r>
      <w:r>
        <w:rPr>
          <w:rFonts w:ascii="Bookman Old Style" w:hAnsi="Bookman Old Style"/>
          <w:sz w:val="20"/>
          <w:szCs w:val="20"/>
          <w:lang w:val="uk-UA"/>
        </w:rPr>
        <w:t xml:space="preserve"> 201</w:t>
      </w:r>
      <w:r w:rsidRPr="00DF50B4">
        <w:rPr>
          <w:rFonts w:ascii="Bookman Old Style" w:hAnsi="Bookman Old Style"/>
          <w:sz w:val="20"/>
          <w:szCs w:val="20"/>
          <w:lang w:val="uk-UA"/>
        </w:rPr>
        <w:t>8</w:t>
      </w:r>
      <w:r w:rsidRPr="00A16A19">
        <w:rPr>
          <w:rFonts w:ascii="Bookman Old Style" w:hAnsi="Bookman Old Style"/>
          <w:sz w:val="20"/>
          <w:szCs w:val="20"/>
          <w:lang w:val="uk-UA"/>
        </w:rPr>
        <w:t xml:space="preserve"> </w:t>
      </w:r>
      <w:r>
        <w:rPr>
          <w:rFonts w:ascii="Bookman Old Style" w:hAnsi="Bookman Old Style"/>
          <w:sz w:val="20"/>
          <w:szCs w:val="20"/>
          <w:lang w:val="en-US"/>
        </w:rPr>
        <w:t>has</w:t>
      </w:r>
      <w:r w:rsidRPr="00A16A19">
        <w:rPr>
          <w:rFonts w:ascii="Bookman Old Style" w:hAnsi="Bookman Old Style"/>
          <w:sz w:val="20"/>
          <w:szCs w:val="20"/>
          <w:lang w:val="uk-UA"/>
        </w:rPr>
        <w:t xml:space="preserve"> </w:t>
      </w:r>
      <w:r>
        <w:rPr>
          <w:rFonts w:ascii="Bookman Old Style" w:hAnsi="Bookman Old Style"/>
          <w:sz w:val="20"/>
          <w:szCs w:val="20"/>
          <w:lang w:val="en-US"/>
        </w:rPr>
        <w:t>demonstrated</w:t>
      </w:r>
      <w:r w:rsidRPr="00A16A19">
        <w:rPr>
          <w:rFonts w:ascii="Bookman Old Style" w:hAnsi="Bookman Old Style"/>
          <w:sz w:val="20"/>
          <w:szCs w:val="20"/>
          <w:lang w:val="uk-UA"/>
        </w:rPr>
        <w:t xml:space="preserve"> </w:t>
      </w:r>
      <w:r>
        <w:rPr>
          <w:rFonts w:ascii="Bookman Old Style" w:hAnsi="Bookman Old Style"/>
          <w:sz w:val="20"/>
          <w:szCs w:val="20"/>
          <w:lang w:val="en-US"/>
        </w:rPr>
        <w:t>the</w:t>
      </w:r>
      <w:r w:rsidRPr="00A16A19">
        <w:rPr>
          <w:rFonts w:ascii="Bookman Old Style" w:hAnsi="Bookman Old Style"/>
          <w:sz w:val="20"/>
          <w:szCs w:val="20"/>
          <w:lang w:val="uk-UA"/>
        </w:rPr>
        <w:t xml:space="preserve"> </w:t>
      </w:r>
      <w:r>
        <w:rPr>
          <w:rFonts w:ascii="Bookman Old Style" w:hAnsi="Bookman Old Style"/>
          <w:sz w:val="20"/>
          <w:szCs w:val="20"/>
          <w:lang w:val="en-US"/>
        </w:rPr>
        <w:t>following</w:t>
      </w:r>
      <w:r w:rsidRPr="00A16A19">
        <w:rPr>
          <w:rFonts w:ascii="Bookman Old Style" w:hAnsi="Bookman Old Style"/>
          <w:sz w:val="20"/>
          <w:szCs w:val="20"/>
          <w:lang w:val="uk-UA"/>
        </w:rPr>
        <w:t xml:space="preserve"> </w:t>
      </w:r>
      <w:r>
        <w:rPr>
          <w:rFonts w:ascii="Bookman Old Style" w:hAnsi="Bookman Old Style"/>
          <w:sz w:val="20"/>
          <w:szCs w:val="20"/>
          <w:lang w:val="en-US"/>
        </w:rPr>
        <w:t>trends</w:t>
      </w:r>
      <w:r w:rsidR="005017A6" w:rsidRPr="00AF79C9">
        <w:rPr>
          <w:rFonts w:ascii="Bookman Old Style" w:hAnsi="Bookman Old Style"/>
          <w:sz w:val="20"/>
          <w:szCs w:val="20"/>
          <w:lang w:val="uk-UA"/>
        </w:rPr>
        <w:t>:</w:t>
      </w:r>
    </w:p>
    <w:p w14:paraId="6386C0FE" w14:textId="77777777" w:rsidR="00BE4C0A" w:rsidRPr="00AF79C9" w:rsidRDefault="00BE4C0A" w:rsidP="006160AF">
      <w:pPr>
        <w:ind w:firstLine="708"/>
        <w:jc w:val="both"/>
        <w:rPr>
          <w:rFonts w:ascii="Bookman Old Style" w:hAnsi="Bookman Old Style"/>
          <w:sz w:val="20"/>
          <w:szCs w:val="20"/>
          <w:lang w:val="uk-UA"/>
        </w:rPr>
      </w:pPr>
    </w:p>
    <w:p w14:paraId="43A6C4C9" w14:textId="5D4F64A3" w:rsidR="005017A6" w:rsidRPr="00AF79C9" w:rsidRDefault="00F40ED2" w:rsidP="006160AF">
      <w:pPr>
        <w:ind w:firstLine="708"/>
        <w:jc w:val="both"/>
        <w:rPr>
          <w:rFonts w:ascii="Bookman Old Style" w:hAnsi="Bookman Old Style"/>
          <w:sz w:val="20"/>
          <w:szCs w:val="20"/>
          <w:lang w:val="uk-UA"/>
        </w:rPr>
      </w:pPr>
      <w:r w:rsidRPr="00AF79C9">
        <w:rPr>
          <w:rFonts w:ascii="Bookman Old Style" w:hAnsi="Bookman Old Style"/>
          <w:sz w:val="20"/>
          <w:szCs w:val="20"/>
          <w:lang w:val="uk-UA"/>
        </w:rPr>
        <w:t>1.</w:t>
      </w:r>
      <w:r w:rsidR="005017A6" w:rsidRPr="00AF79C9">
        <w:rPr>
          <w:rFonts w:ascii="Bookman Old Style" w:hAnsi="Bookman Old Style"/>
          <w:sz w:val="20"/>
          <w:szCs w:val="20"/>
          <w:lang w:val="uk-UA"/>
        </w:rPr>
        <w:t xml:space="preserve"> </w:t>
      </w:r>
      <w:r w:rsidR="000D523B">
        <w:rPr>
          <w:rFonts w:ascii="Bookman Old Style" w:hAnsi="Bookman Old Style"/>
          <w:sz w:val="20"/>
          <w:szCs w:val="20"/>
          <w:lang w:val="en-US"/>
        </w:rPr>
        <w:t>As of</w:t>
      </w:r>
      <w:r w:rsidR="000D523B" w:rsidRPr="00201143">
        <w:rPr>
          <w:rFonts w:ascii="Bookman Old Style" w:hAnsi="Bookman Old Style"/>
          <w:sz w:val="20"/>
          <w:szCs w:val="20"/>
          <w:lang w:val="uk-UA"/>
        </w:rPr>
        <w:t xml:space="preserve"> </w:t>
      </w:r>
      <w:r w:rsidR="000D523B">
        <w:rPr>
          <w:rFonts w:ascii="Bookman Old Style" w:hAnsi="Bookman Old Style"/>
          <w:sz w:val="20"/>
          <w:szCs w:val="20"/>
          <w:lang w:val="en-US"/>
        </w:rPr>
        <w:t>0</w:t>
      </w:r>
      <w:r w:rsidR="000D523B" w:rsidRPr="00201143">
        <w:rPr>
          <w:rFonts w:ascii="Bookman Old Style" w:hAnsi="Bookman Old Style"/>
          <w:sz w:val="20"/>
          <w:szCs w:val="20"/>
          <w:lang w:val="uk-UA"/>
        </w:rPr>
        <w:t>1.</w:t>
      </w:r>
      <w:r w:rsidR="000D523B">
        <w:rPr>
          <w:rFonts w:ascii="Bookman Old Style" w:hAnsi="Bookman Old Style"/>
          <w:sz w:val="20"/>
          <w:szCs w:val="20"/>
          <w:lang w:val="en-US"/>
        </w:rPr>
        <w:t>07</w:t>
      </w:r>
      <w:r w:rsidR="000D523B" w:rsidRPr="00201143">
        <w:rPr>
          <w:rFonts w:ascii="Bookman Old Style" w:hAnsi="Bookman Old Style"/>
          <w:sz w:val="20"/>
          <w:szCs w:val="20"/>
          <w:lang w:val="uk-UA"/>
        </w:rPr>
        <w:t>.201</w:t>
      </w:r>
      <w:r w:rsidR="000D523B">
        <w:rPr>
          <w:rFonts w:ascii="Bookman Old Style" w:hAnsi="Bookman Old Style"/>
          <w:sz w:val="20"/>
          <w:szCs w:val="20"/>
          <w:lang w:val="en-US"/>
        </w:rPr>
        <w:t>8</w:t>
      </w:r>
      <w:r w:rsidR="000D523B">
        <w:rPr>
          <w:rFonts w:ascii="Bookman Old Style" w:hAnsi="Bookman Old Style"/>
          <w:sz w:val="20"/>
          <w:szCs w:val="20"/>
          <w:lang w:val="en-US"/>
        </w:rPr>
        <w:t xml:space="preserve"> the Bank’s shareholders’ equity has amounted to UAH </w:t>
      </w:r>
      <w:r w:rsidR="000D523B" w:rsidRPr="00AF79C9">
        <w:rPr>
          <w:rFonts w:ascii="Bookman Old Style" w:hAnsi="Bookman Old Style"/>
          <w:sz w:val="20"/>
          <w:szCs w:val="20"/>
          <w:lang w:val="uk-UA"/>
        </w:rPr>
        <w:t>28,038</w:t>
      </w:r>
      <w:r w:rsidR="000D523B">
        <w:rPr>
          <w:rFonts w:ascii="Bookman Old Style" w:hAnsi="Bookman Old Style"/>
          <w:sz w:val="20"/>
          <w:szCs w:val="20"/>
          <w:lang w:val="en-US"/>
        </w:rPr>
        <w:t xml:space="preserve"> bn.</w:t>
      </w:r>
      <w:r w:rsidR="000D523B">
        <w:rPr>
          <w:rFonts w:ascii="Bookman Old Style" w:hAnsi="Bookman Old Style"/>
          <w:sz w:val="20"/>
          <w:szCs w:val="20"/>
          <w:lang w:val="en-US"/>
        </w:rPr>
        <w:t xml:space="preserve"> </w:t>
      </w:r>
      <w:r w:rsidR="00A03724">
        <w:rPr>
          <w:rFonts w:ascii="Bookman Old Style" w:hAnsi="Bookman Old Style"/>
          <w:sz w:val="20"/>
          <w:szCs w:val="20"/>
          <w:lang w:val="en-US"/>
        </w:rPr>
        <w:t>For the first half of 2018 the Bank’s shareholders’ equity has grown by 9</w:t>
      </w:r>
      <w:proofErr w:type="gramStart"/>
      <w:r w:rsidR="00A03724">
        <w:rPr>
          <w:rFonts w:ascii="Bookman Old Style" w:hAnsi="Bookman Old Style"/>
          <w:sz w:val="20"/>
          <w:szCs w:val="20"/>
          <w:lang w:val="en-US"/>
        </w:rPr>
        <w:t>,49</w:t>
      </w:r>
      <w:proofErr w:type="gramEnd"/>
      <w:r w:rsidR="00A03724">
        <w:rPr>
          <w:rFonts w:ascii="Bookman Old Style" w:hAnsi="Bookman Old Style"/>
          <w:sz w:val="20"/>
          <w:szCs w:val="20"/>
          <w:lang w:val="en-US"/>
        </w:rPr>
        <w:t>%.</w:t>
      </w:r>
      <w:r w:rsidR="000D523B">
        <w:rPr>
          <w:rFonts w:ascii="Bookman Old Style" w:hAnsi="Bookman Old Style"/>
          <w:sz w:val="20"/>
          <w:szCs w:val="20"/>
          <w:lang w:val="en-US"/>
        </w:rPr>
        <w:t xml:space="preserve"> The increase in shareholders’ equity deserves a positive assessment and became possible, mostly, due to the </w:t>
      </w:r>
      <w:r w:rsidR="00A03724">
        <w:rPr>
          <w:rFonts w:ascii="Bookman Old Style" w:hAnsi="Bookman Old Style"/>
          <w:sz w:val="20"/>
          <w:szCs w:val="20"/>
          <w:lang w:val="en-US"/>
        </w:rPr>
        <w:t>Bank’s profitable activity</w:t>
      </w:r>
      <w:r w:rsidR="000D523B">
        <w:rPr>
          <w:rFonts w:ascii="Bookman Old Style" w:hAnsi="Bookman Old Style"/>
          <w:sz w:val="20"/>
          <w:szCs w:val="20"/>
          <w:lang w:val="en-US"/>
        </w:rPr>
        <w:t>. The Bank’s authorized capital</w:t>
      </w:r>
      <w:r w:rsidR="00A03724">
        <w:rPr>
          <w:rFonts w:ascii="Bookman Old Style" w:hAnsi="Bookman Old Style"/>
          <w:sz w:val="20"/>
          <w:szCs w:val="20"/>
          <w:lang w:val="en-US"/>
        </w:rPr>
        <w:t xml:space="preserve"> for the first half of 2018 has remained unchanged and has amounted to UAH</w:t>
      </w:r>
      <w:r w:rsidR="000D523B">
        <w:rPr>
          <w:rFonts w:ascii="Bookman Old Style" w:hAnsi="Bookman Old Style"/>
          <w:sz w:val="20"/>
          <w:szCs w:val="20"/>
          <w:lang w:val="en-US"/>
        </w:rPr>
        <w:t xml:space="preserve"> </w:t>
      </w:r>
      <w:r w:rsidR="000D523B">
        <w:rPr>
          <w:rFonts w:ascii="Bookman Old Style" w:hAnsi="Bookman Old Style"/>
          <w:sz w:val="20"/>
          <w:szCs w:val="20"/>
          <w:lang w:val="uk-UA"/>
        </w:rPr>
        <w:t>206</w:t>
      </w:r>
      <w:proofErr w:type="gramStart"/>
      <w:r w:rsidR="000D523B">
        <w:rPr>
          <w:rFonts w:ascii="Bookman Old Style" w:hAnsi="Bookman Old Style"/>
          <w:sz w:val="20"/>
          <w:szCs w:val="20"/>
          <w:lang w:val="uk-UA"/>
        </w:rPr>
        <w:t>,06</w:t>
      </w:r>
      <w:proofErr w:type="gramEnd"/>
      <w:r w:rsidR="000D523B">
        <w:rPr>
          <w:rFonts w:ascii="Bookman Old Style" w:hAnsi="Bookman Old Style"/>
          <w:sz w:val="20"/>
          <w:szCs w:val="20"/>
          <w:lang w:val="uk-UA"/>
        </w:rPr>
        <w:t xml:space="preserve"> </w:t>
      </w:r>
      <w:proofErr w:type="spellStart"/>
      <w:r w:rsidR="000D523B">
        <w:rPr>
          <w:rFonts w:ascii="Bookman Old Style" w:hAnsi="Bookman Old Style"/>
          <w:sz w:val="20"/>
          <w:szCs w:val="20"/>
          <w:lang w:val="en-US"/>
        </w:rPr>
        <w:t>bn</w:t>
      </w:r>
      <w:proofErr w:type="spellEnd"/>
      <w:r w:rsidR="000D523B">
        <w:rPr>
          <w:rFonts w:ascii="Bookman Old Style" w:hAnsi="Bookman Old Style"/>
          <w:sz w:val="20"/>
          <w:szCs w:val="20"/>
          <w:lang w:val="uk-UA"/>
        </w:rPr>
        <w:t>.</w:t>
      </w:r>
      <w:r w:rsidR="000D523B">
        <w:rPr>
          <w:rFonts w:ascii="Bookman Old Style" w:hAnsi="Bookman Old Style"/>
          <w:sz w:val="20"/>
          <w:szCs w:val="20"/>
          <w:lang w:val="en-US"/>
        </w:rPr>
        <w:t xml:space="preserve"> </w:t>
      </w:r>
    </w:p>
    <w:p w14:paraId="6F14D1C8" w14:textId="77777777" w:rsidR="00900F45" w:rsidRDefault="00900F45" w:rsidP="00F7529B">
      <w:pPr>
        <w:jc w:val="right"/>
        <w:rPr>
          <w:rFonts w:ascii="Bookman Old Style" w:hAnsi="Bookman Old Style"/>
          <w:sz w:val="20"/>
          <w:szCs w:val="20"/>
          <w:lang w:val="en-US"/>
        </w:rPr>
      </w:pPr>
    </w:p>
    <w:p w14:paraId="6FD83E2A" w14:textId="0125AFFB" w:rsidR="00F7529B" w:rsidRPr="00AF79C9" w:rsidRDefault="007A7820" w:rsidP="00F7529B">
      <w:pPr>
        <w:jc w:val="right"/>
        <w:rPr>
          <w:rFonts w:ascii="Bookman Old Style" w:hAnsi="Bookman Old Style"/>
          <w:sz w:val="20"/>
          <w:szCs w:val="20"/>
          <w:lang w:val="uk-UA"/>
        </w:rPr>
      </w:pPr>
      <w:r>
        <w:rPr>
          <w:rFonts w:ascii="Bookman Old Style" w:hAnsi="Bookman Old Style"/>
          <w:sz w:val="20"/>
          <w:szCs w:val="20"/>
          <w:lang w:val="en-US"/>
        </w:rPr>
        <w:t>Table</w:t>
      </w:r>
      <w:r w:rsidR="00F7529B" w:rsidRPr="00AF79C9">
        <w:rPr>
          <w:rFonts w:ascii="Bookman Old Style" w:hAnsi="Bookman Old Style"/>
          <w:sz w:val="20"/>
          <w:szCs w:val="20"/>
          <w:lang w:val="uk-UA"/>
        </w:rPr>
        <w:t xml:space="preserve"> 1 </w:t>
      </w:r>
    </w:p>
    <w:p w14:paraId="55D5C7B8" w14:textId="30B3ED75" w:rsidR="00565BCA" w:rsidRPr="00AF79C9" w:rsidRDefault="009C12CE" w:rsidP="00565BCA">
      <w:pPr>
        <w:jc w:val="center"/>
        <w:rPr>
          <w:rFonts w:ascii="Bookman Old Style" w:hAnsi="Bookman Old Style"/>
          <w:b/>
          <w:sz w:val="20"/>
          <w:szCs w:val="20"/>
          <w:lang w:val="uk-UA"/>
        </w:rPr>
      </w:pPr>
      <w:r>
        <w:rPr>
          <w:rFonts w:ascii="Bookman Old Style" w:hAnsi="Bookman Old Style"/>
          <w:b/>
          <w:sz w:val="20"/>
          <w:szCs w:val="20"/>
          <w:lang w:val="en-US"/>
        </w:rPr>
        <w:t>Key balance sheet indicators of</w:t>
      </w:r>
      <w:r w:rsidRPr="002F7CAA">
        <w:rPr>
          <w:rFonts w:ascii="Bookman Old Style" w:hAnsi="Bookman Old Style"/>
          <w:b/>
          <w:sz w:val="20"/>
          <w:szCs w:val="20"/>
          <w:lang w:val="en-GB"/>
        </w:rPr>
        <w:t xml:space="preserve"> </w:t>
      </w:r>
      <w:r>
        <w:rPr>
          <w:rFonts w:ascii="Bookman Old Style" w:hAnsi="Bookman Old Style"/>
          <w:b/>
          <w:sz w:val="20"/>
          <w:szCs w:val="20"/>
          <w:lang w:val="en-US"/>
        </w:rPr>
        <w:t>JSC</w:t>
      </w:r>
      <w:r>
        <w:rPr>
          <w:rFonts w:ascii="Bookman Old Style" w:hAnsi="Bookman Old Style"/>
          <w:b/>
          <w:sz w:val="20"/>
          <w:szCs w:val="20"/>
          <w:lang w:val="uk-UA"/>
        </w:rPr>
        <w:t xml:space="preserve"> «</w:t>
      </w:r>
      <w:r>
        <w:rPr>
          <w:rFonts w:ascii="Bookman Old Style" w:hAnsi="Bookman Old Style"/>
          <w:b/>
          <w:sz w:val="20"/>
          <w:szCs w:val="20"/>
          <w:lang w:val="en-US"/>
        </w:rPr>
        <w:t xml:space="preserve">CB </w:t>
      </w:r>
      <w:r>
        <w:rPr>
          <w:rFonts w:ascii="Bookman Old Style" w:hAnsi="Bookman Old Style"/>
          <w:b/>
          <w:sz w:val="20"/>
          <w:szCs w:val="20"/>
          <w:lang w:val="uk-UA"/>
        </w:rPr>
        <w:t>«</w:t>
      </w:r>
      <w:r>
        <w:rPr>
          <w:rFonts w:ascii="Bookman Old Style" w:hAnsi="Bookman Old Style"/>
          <w:b/>
          <w:sz w:val="20"/>
          <w:szCs w:val="20"/>
          <w:lang w:val="en-US"/>
        </w:rPr>
        <w:t>PRIVATBANK</w:t>
      </w:r>
      <w:r>
        <w:rPr>
          <w:rFonts w:ascii="Bookman Old Style" w:hAnsi="Bookman Old Style"/>
          <w:b/>
          <w:sz w:val="20"/>
          <w:szCs w:val="20"/>
          <w:lang w:val="uk-UA"/>
        </w:rPr>
        <w:t>»</w:t>
      </w:r>
      <w:r w:rsidRPr="00D70070">
        <w:rPr>
          <w:rFonts w:ascii="Bookman Old Style" w:hAnsi="Bookman Old Style"/>
          <w:b/>
          <w:sz w:val="20"/>
          <w:szCs w:val="20"/>
          <w:lang w:val="uk-UA"/>
        </w:rPr>
        <w:t xml:space="preserve">, </w:t>
      </w:r>
      <w:proofErr w:type="spellStart"/>
      <w:r>
        <w:rPr>
          <w:rFonts w:ascii="Bookman Old Style" w:hAnsi="Bookman Old Style"/>
          <w:b/>
          <w:sz w:val="20"/>
          <w:szCs w:val="20"/>
          <w:lang w:val="en-US"/>
        </w:rPr>
        <w:t>mln</w:t>
      </w:r>
      <w:proofErr w:type="spellEnd"/>
      <w:r w:rsidRPr="00FD0993">
        <w:rPr>
          <w:rFonts w:ascii="Bookman Old Style" w:hAnsi="Bookman Old Style"/>
          <w:b/>
          <w:sz w:val="20"/>
          <w:szCs w:val="20"/>
          <w:lang w:val="uk-UA"/>
        </w:rPr>
        <w:t>.</w:t>
      </w:r>
      <w:r>
        <w:rPr>
          <w:rFonts w:ascii="Bookman Old Style" w:hAnsi="Bookman Old Style"/>
          <w:b/>
          <w:sz w:val="20"/>
          <w:szCs w:val="20"/>
          <w:lang w:val="en-US"/>
        </w:rPr>
        <w:t xml:space="preserve"> </w:t>
      </w:r>
      <w:proofErr w:type="gramStart"/>
      <w:r>
        <w:rPr>
          <w:rFonts w:ascii="Bookman Old Style" w:hAnsi="Bookman Old Style"/>
          <w:b/>
          <w:sz w:val="20"/>
          <w:szCs w:val="20"/>
          <w:lang w:val="en-US"/>
        </w:rPr>
        <w:t>UAH</w:t>
      </w:r>
      <w:r w:rsidRPr="00FD0993">
        <w:rPr>
          <w:rFonts w:ascii="Bookman Old Style" w:hAnsi="Bookman Old Style"/>
          <w:b/>
          <w:sz w:val="20"/>
          <w:szCs w:val="20"/>
          <w:lang w:val="uk-UA"/>
        </w:rPr>
        <w:t xml:space="preserve">, %, </w:t>
      </w:r>
      <w:proofErr w:type="spellStart"/>
      <w:r>
        <w:rPr>
          <w:rFonts w:ascii="Bookman Old Style" w:hAnsi="Bookman Old Style"/>
          <w:b/>
          <w:sz w:val="20"/>
          <w:szCs w:val="20"/>
          <w:lang w:val="en-US"/>
        </w:rPr>
        <w:t>p</w:t>
      </w:r>
      <w:r w:rsidRPr="00BA7133">
        <w:rPr>
          <w:rFonts w:ascii="Bookman Old Style" w:hAnsi="Bookman Old Style"/>
          <w:b/>
          <w:sz w:val="20"/>
          <w:szCs w:val="20"/>
          <w:lang w:val="en-US"/>
        </w:rPr>
        <w:t>.</w:t>
      </w:r>
      <w:r>
        <w:rPr>
          <w:rFonts w:ascii="Bookman Old Style" w:hAnsi="Bookman Old Style"/>
          <w:b/>
          <w:sz w:val="20"/>
          <w:szCs w:val="20"/>
          <w:lang w:val="en-US"/>
        </w:rPr>
        <w:t>p</w:t>
      </w:r>
      <w:proofErr w:type="spellEnd"/>
      <w:r w:rsidRPr="00FD0993">
        <w:rPr>
          <w:rFonts w:ascii="Bookman Old Style" w:hAnsi="Bookman Old Style"/>
          <w:b/>
          <w:sz w:val="20"/>
          <w:szCs w:val="20"/>
          <w:lang w:val="uk-UA"/>
        </w:rPr>
        <w:t>.</w:t>
      </w:r>
      <w:proofErr w:type="gramEnd"/>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984"/>
        <w:gridCol w:w="908"/>
        <w:gridCol w:w="984"/>
        <w:gridCol w:w="908"/>
        <w:gridCol w:w="1717"/>
      </w:tblGrid>
      <w:tr w:rsidR="00C05766" w:rsidRPr="00AF79C9" w14:paraId="58F1B039" w14:textId="77777777" w:rsidTr="007D4D24">
        <w:trPr>
          <w:trHeight w:val="48"/>
          <w:jc w:val="center"/>
        </w:trPr>
        <w:tc>
          <w:tcPr>
            <w:tcW w:w="2289" w:type="pct"/>
            <w:vMerge w:val="restart"/>
            <w:shd w:val="clear" w:color="auto" w:fill="auto"/>
            <w:noWrap/>
            <w:vAlign w:val="center"/>
            <w:hideMark/>
          </w:tcPr>
          <w:p w14:paraId="1792FFCB" w14:textId="33182353" w:rsidR="00C05766" w:rsidRPr="00AF79C9" w:rsidRDefault="00F6661F">
            <w:pPr>
              <w:jc w:val="center"/>
              <w:rPr>
                <w:rFonts w:ascii="Bookman Old Style" w:hAnsi="Bookman Old Style" w:cs="Calibri"/>
                <w:color w:val="000000"/>
                <w:sz w:val="16"/>
                <w:szCs w:val="16"/>
                <w:lang w:val="uk-UA"/>
              </w:rPr>
            </w:pPr>
            <w:r>
              <w:rPr>
                <w:rFonts w:ascii="Bookman Old Style" w:hAnsi="Bookman Old Style" w:cs="Calibri"/>
                <w:color w:val="000000"/>
                <w:sz w:val="16"/>
                <w:szCs w:val="16"/>
                <w:lang w:val="en-US"/>
              </w:rPr>
              <w:t>Indicators</w:t>
            </w:r>
          </w:p>
        </w:tc>
        <w:tc>
          <w:tcPr>
            <w:tcW w:w="922" w:type="pct"/>
            <w:gridSpan w:val="2"/>
            <w:shd w:val="clear" w:color="auto" w:fill="auto"/>
            <w:noWrap/>
            <w:vAlign w:val="center"/>
            <w:hideMark/>
          </w:tcPr>
          <w:p w14:paraId="7D6BC8BD" w14:textId="77777777" w:rsidR="00C05766" w:rsidRPr="00AF79C9" w:rsidRDefault="00C05766">
            <w:pPr>
              <w:jc w:val="center"/>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01.07.2018</w:t>
            </w:r>
          </w:p>
        </w:tc>
        <w:tc>
          <w:tcPr>
            <w:tcW w:w="922" w:type="pct"/>
            <w:gridSpan w:val="2"/>
            <w:shd w:val="clear" w:color="auto" w:fill="auto"/>
            <w:noWrap/>
            <w:vAlign w:val="center"/>
            <w:hideMark/>
          </w:tcPr>
          <w:p w14:paraId="2B00EB21" w14:textId="77777777" w:rsidR="00C05766" w:rsidRPr="00AF79C9" w:rsidRDefault="00C05766">
            <w:pPr>
              <w:jc w:val="center"/>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01.01.2018</w:t>
            </w:r>
          </w:p>
        </w:tc>
        <w:tc>
          <w:tcPr>
            <w:tcW w:w="867" w:type="pct"/>
            <w:vMerge w:val="restart"/>
            <w:shd w:val="clear" w:color="auto" w:fill="auto"/>
            <w:noWrap/>
            <w:vAlign w:val="center"/>
            <w:hideMark/>
          </w:tcPr>
          <w:p w14:paraId="5D491D30" w14:textId="1FB694F8" w:rsidR="00C05766" w:rsidRPr="00AF79C9" w:rsidRDefault="00F6661F">
            <w:pPr>
              <w:jc w:val="center"/>
              <w:rPr>
                <w:rFonts w:ascii="Bookman Old Style" w:hAnsi="Bookman Old Style" w:cs="Calibri"/>
                <w:color w:val="000000"/>
                <w:sz w:val="16"/>
                <w:szCs w:val="16"/>
                <w:lang w:val="uk-UA"/>
              </w:rPr>
            </w:pPr>
            <w:r>
              <w:rPr>
                <w:rFonts w:ascii="Bookman Old Style" w:hAnsi="Bookman Old Style" w:cs="Calibri"/>
                <w:color w:val="000000"/>
                <w:sz w:val="16"/>
                <w:szCs w:val="16"/>
                <w:lang w:val="en-US"/>
              </w:rPr>
              <w:t>Growth rate</w:t>
            </w:r>
            <w:r w:rsidR="00C05766" w:rsidRPr="00AF79C9">
              <w:rPr>
                <w:rFonts w:ascii="Bookman Old Style" w:hAnsi="Bookman Old Style" w:cs="Calibri"/>
                <w:color w:val="000000"/>
                <w:sz w:val="16"/>
                <w:szCs w:val="16"/>
                <w:lang w:val="uk-UA"/>
              </w:rPr>
              <w:t>, %</w:t>
            </w:r>
          </w:p>
        </w:tc>
      </w:tr>
      <w:tr w:rsidR="00C05766" w:rsidRPr="00AF79C9" w14:paraId="12DD146C" w14:textId="77777777" w:rsidTr="007D4D24">
        <w:trPr>
          <w:trHeight w:val="227"/>
          <w:jc w:val="center"/>
        </w:trPr>
        <w:tc>
          <w:tcPr>
            <w:tcW w:w="2289" w:type="pct"/>
            <w:vMerge/>
            <w:vAlign w:val="center"/>
            <w:hideMark/>
          </w:tcPr>
          <w:p w14:paraId="4B02693A" w14:textId="77777777" w:rsidR="00C05766" w:rsidRPr="00AF79C9" w:rsidRDefault="00C05766">
            <w:pPr>
              <w:rPr>
                <w:rFonts w:ascii="Bookman Old Style" w:hAnsi="Bookman Old Style" w:cs="Calibri"/>
                <w:color w:val="000000"/>
                <w:sz w:val="16"/>
                <w:szCs w:val="16"/>
                <w:lang w:val="uk-UA"/>
              </w:rPr>
            </w:pPr>
          </w:p>
        </w:tc>
        <w:tc>
          <w:tcPr>
            <w:tcW w:w="472" w:type="pct"/>
            <w:shd w:val="clear" w:color="auto" w:fill="auto"/>
            <w:noWrap/>
            <w:vAlign w:val="center"/>
            <w:hideMark/>
          </w:tcPr>
          <w:p w14:paraId="368BACD7" w14:textId="49D9AE71" w:rsidR="00C05766" w:rsidRPr="00AF79C9" w:rsidRDefault="00E23A39">
            <w:pPr>
              <w:jc w:val="center"/>
              <w:rPr>
                <w:rFonts w:ascii="Bookman Old Style" w:hAnsi="Bookman Old Style" w:cs="Calibri"/>
                <w:color w:val="000000"/>
                <w:sz w:val="16"/>
                <w:szCs w:val="16"/>
                <w:lang w:val="uk-UA"/>
              </w:rPr>
            </w:pPr>
            <w:proofErr w:type="spellStart"/>
            <w:proofErr w:type="gramStart"/>
            <w:r>
              <w:rPr>
                <w:rFonts w:ascii="Bookman Old Style" w:hAnsi="Bookman Old Style" w:cs="Calibri"/>
                <w:color w:val="000000"/>
                <w:sz w:val="16"/>
                <w:szCs w:val="16"/>
                <w:lang w:val="en-US"/>
              </w:rPr>
              <w:t>mln</w:t>
            </w:r>
            <w:proofErr w:type="spellEnd"/>
            <w:proofErr w:type="gramEnd"/>
            <w:r w:rsidRPr="005D6C31">
              <w:rPr>
                <w:rFonts w:ascii="Bookman Old Style" w:hAnsi="Bookman Old Style" w:cs="Calibri"/>
                <w:color w:val="000000"/>
                <w:sz w:val="16"/>
                <w:szCs w:val="16"/>
                <w:lang w:val="uk-UA"/>
              </w:rPr>
              <w:t>.</w:t>
            </w:r>
            <w:r>
              <w:rPr>
                <w:rFonts w:ascii="Bookman Old Style" w:hAnsi="Bookman Old Style" w:cs="Calibri"/>
                <w:color w:val="000000"/>
                <w:sz w:val="16"/>
                <w:szCs w:val="16"/>
                <w:lang w:val="en-US"/>
              </w:rPr>
              <w:t xml:space="preserve"> UAH</w:t>
            </w:r>
          </w:p>
        </w:tc>
        <w:tc>
          <w:tcPr>
            <w:tcW w:w="450" w:type="pct"/>
            <w:shd w:val="clear" w:color="auto" w:fill="auto"/>
            <w:noWrap/>
            <w:vAlign w:val="center"/>
            <w:hideMark/>
          </w:tcPr>
          <w:p w14:paraId="2772749F" w14:textId="77777777" w:rsidR="00C05766" w:rsidRPr="00AF79C9" w:rsidRDefault="00C05766">
            <w:pPr>
              <w:jc w:val="center"/>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w:t>
            </w:r>
          </w:p>
        </w:tc>
        <w:tc>
          <w:tcPr>
            <w:tcW w:w="472" w:type="pct"/>
            <w:shd w:val="clear" w:color="auto" w:fill="auto"/>
            <w:noWrap/>
            <w:vAlign w:val="center"/>
            <w:hideMark/>
          </w:tcPr>
          <w:p w14:paraId="6CF0BA4C" w14:textId="64947C8D" w:rsidR="00C05766" w:rsidRPr="00AF79C9" w:rsidRDefault="00E23A39">
            <w:pPr>
              <w:jc w:val="center"/>
              <w:rPr>
                <w:rFonts w:ascii="Bookman Old Style" w:hAnsi="Bookman Old Style" w:cs="Calibri"/>
                <w:color w:val="000000"/>
                <w:sz w:val="16"/>
                <w:szCs w:val="16"/>
                <w:lang w:val="uk-UA"/>
              </w:rPr>
            </w:pPr>
            <w:proofErr w:type="spellStart"/>
            <w:proofErr w:type="gramStart"/>
            <w:r>
              <w:rPr>
                <w:rFonts w:ascii="Bookman Old Style" w:hAnsi="Bookman Old Style" w:cs="Calibri"/>
                <w:color w:val="000000"/>
                <w:sz w:val="16"/>
                <w:szCs w:val="16"/>
                <w:lang w:val="en-US"/>
              </w:rPr>
              <w:t>mln</w:t>
            </w:r>
            <w:proofErr w:type="spellEnd"/>
            <w:proofErr w:type="gramEnd"/>
            <w:r w:rsidRPr="005D6C31">
              <w:rPr>
                <w:rFonts w:ascii="Bookman Old Style" w:hAnsi="Bookman Old Style" w:cs="Calibri"/>
                <w:color w:val="000000"/>
                <w:sz w:val="16"/>
                <w:szCs w:val="16"/>
                <w:lang w:val="uk-UA"/>
              </w:rPr>
              <w:t>.</w:t>
            </w:r>
            <w:r>
              <w:rPr>
                <w:rFonts w:ascii="Bookman Old Style" w:hAnsi="Bookman Old Style" w:cs="Calibri"/>
                <w:color w:val="000000"/>
                <w:sz w:val="16"/>
                <w:szCs w:val="16"/>
                <w:lang w:val="en-US"/>
              </w:rPr>
              <w:t xml:space="preserve"> UAH</w:t>
            </w:r>
          </w:p>
        </w:tc>
        <w:tc>
          <w:tcPr>
            <w:tcW w:w="450" w:type="pct"/>
            <w:shd w:val="clear" w:color="auto" w:fill="auto"/>
            <w:noWrap/>
            <w:vAlign w:val="center"/>
            <w:hideMark/>
          </w:tcPr>
          <w:p w14:paraId="6A27DAD6" w14:textId="77777777" w:rsidR="00C05766" w:rsidRPr="00AF79C9" w:rsidRDefault="00C05766">
            <w:pPr>
              <w:jc w:val="center"/>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w:t>
            </w:r>
          </w:p>
        </w:tc>
        <w:tc>
          <w:tcPr>
            <w:tcW w:w="867" w:type="pct"/>
            <w:vMerge/>
            <w:vAlign w:val="center"/>
            <w:hideMark/>
          </w:tcPr>
          <w:p w14:paraId="16032CDF" w14:textId="77777777" w:rsidR="00C05766" w:rsidRPr="00AF79C9" w:rsidRDefault="00C05766">
            <w:pPr>
              <w:rPr>
                <w:rFonts w:ascii="Bookman Old Style" w:hAnsi="Bookman Old Style" w:cs="Calibri"/>
                <w:color w:val="000000"/>
                <w:sz w:val="16"/>
                <w:szCs w:val="16"/>
                <w:lang w:val="uk-UA"/>
              </w:rPr>
            </w:pPr>
          </w:p>
        </w:tc>
      </w:tr>
      <w:tr w:rsidR="007D4D24" w:rsidRPr="00AF79C9" w14:paraId="24CA35E4" w14:textId="77777777" w:rsidTr="007D4D24">
        <w:trPr>
          <w:trHeight w:val="60"/>
          <w:jc w:val="center"/>
        </w:trPr>
        <w:tc>
          <w:tcPr>
            <w:tcW w:w="2289" w:type="pct"/>
            <w:shd w:val="clear" w:color="auto" w:fill="auto"/>
            <w:vAlign w:val="center"/>
            <w:hideMark/>
          </w:tcPr>
          <w:p w14:paraId="4665298F" w14:textId="45E09A99" w:rsidR="007D4D24" w:rsidRPr="00AF79C9" w:rsidRDefault="007D4D24">
            <w:pPr>
              <w:rPr>
                <w:rFonts w:ascii="Bookman Old Style" w:hAnsi="Bookman Old Style" w:cs="Calibri"/>
                <w:color w:val="000000"/>
                <w:sz w:val="16"/>
                <w:szCs w:val="16"/>
                <w:lang w:val="uk-UA"/>
              </w:rPr>
            </w:pPr>
            <w:r>
              <w:rPr>
                <w:rFonts w:ascii="Bookman Old Style" w:hAnsi="Bookman Old Style" w:cs="Calibri"/>
                <w:color w:val="000000"/>
                <w:sz w:val="16"/>
                <w:szCs w:val="16"/>
                <w:lang w:val="en-US"/>
              </w:rPr>
              <w:t>Debt to NBU</w:t>
            </w:r>
          </w:p>
        </w:tc>
        <w:tc>
          <w:tcPr>
            <w:tcW w:w="472" w:type="pct"/>
            <w:shd w:val="clear" w:color="auto" w:fill="auto"/>
            <w:noWrap/>
            <w:vAlign w:val="center"/>
            <w:hideMark/>
          </w:tcPr>
          <w:p w14:paraId="31F820E0"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9796</w:t>
            </w:r>
          </w:p>
        </w:tc>
        <w:tc>
          <w:tcPr>
            <w:tcW w:w="450" w:type="pct"/>
            <w:shd w:val="clear" w:color="auto" w:fill="auto"/>
            <w:noWrap/>
            <w:vAlign w:val="center"/>
            <w:hideMark/>
          </w:tcPr>
          <w:p w14:paraId="1712079F"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3,68%</w:t>
            </w:r>
          </w:p>
        </w:tc>
        <w:tc>
          <w:tcPr>
            <w:tcW w:w="472" w:type="pct"/>
            <w:shd w:val="clear" w:color="auto" w:fill="auto"/>
            <w:noWrap/>
            <w:vAlign w:val="center"/>
            <w:hideMark/>
          </w:tcPr>
          <w:p w14:paraId="29BB14DD"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12394</w:t>
            </w:r>
          </w:p>
        </w:tc>
        <w:tc>
          <w:tcPr>
            <w:tcW w:w="450" w:type="pct"/>
            <w:shd w:val="clear" w:color="auto" w:fill="auto"/>
            <w:noWrap/>
            <w:vAlign w:val="center"/>
            <w:hideMark/>
          </w:tcPr>
          <w:p w14:paraId="091C1B4F"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4,78%</w:t>
            </w:r>
          </w:p>
        </w:tc>
        <w:tc>
          <w:tcPr>
            <w:tcW w:w="867" w:type="pct"/>
            <w:shd w:val="clear" w:color="auto" w:fill="auto"/>
            <w:noWrap/>
            <w:vAlign w:val="center"/>
            <w:hideMark/>
          </w:tcPr>
          <w:p w14:paraId="165061F2"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-20,96%</w:t>
            </w:r>
          </w:p>
        </w:tc>
      </w:tr>
      <w:tr w:rsidR="007D4D24" w:rsidRPr="00AF79C9" w14:paraId="5E8BAF71" w14:textId="77777777" w:rsidTr="007D4D24">
        <w:trPr>
          <w:trHeight w:val="60"/>
          <w:jc w:val="center"/>
        </w:trPr>
        <w:tc>
          <w:tcPr>
            <w:tcW w:w="2289" w:type="pct"/>
            <w:shd w:val="clear" w:color="auto" w:fill="auto"/>
            <w:vAlign w:val="center"/>
            <w:hideMark/>
          </w:tcPr>
          <w:p w14:paraId="7C822F69" w14:textId="59894EBC" w:rsidR="007D4D24" w:rsidRPr="00AF79C9" w:rsidRDefault="007D4D24">
            <w:pPr>
              <w:rPr>
                <w:rFonts w:ascii="Bookman Old Style" w:hAnsi="Bookman Old Style" w:cs="Calibri"/>
                <w:color w:val="000000"/>
                <w:sz w:val="16"/>
                <w:szCs w:val="16"/>
                <w:lang w:val="uk-UA"/>
              </w:rPr>
            </w:pPr>
            <w:r>
              <w:rPr>
                <w:rFonts w:ascii="Bookman Old Style" w:hAnsi="Bookman Old Style" w:cs="Calibri"/>
                <w:color w:val="000000"/>
                <w:sz w:val="16"/>
                <w:szCs w:val="16"/>
                <w:lang w:val="en-US"/>
              </w:rPr>
              <w:t>Debt</w:t>
            </w:r>
            <w:r w:rsidRPr="00AC7C6D">
              <w:rPr>
                <w:rFonts w:ascii="Bookman Old Style" w:hAnsi="Bookman Old Style" w:cs="Calibri"/>
                <w:color w:val="000000"/>
                <w:sz w:val="16"/>
                <w:szCs w:val="16"/>
                <w:lang w:val="uk-UA"/>
              </w:rPr>
              <w:t xml:space="preserve"> </w:t>
            </w:r>
            <w:r>
              <w:rPr>
                <w:rFonts w:ascii="Bookman Old Style" w:hAnsi="Bookman Old Style" w:cs="Calibri"/>
                <w:color w:val="000000"/>
                <w:sz w:val="16"/>
                <w:szCs w:val="16"/>
                <w:lang w:val="en-US"/>
              </w:rPr>
              <w:t>to</w:t>
            </w:r>
            <w:r w:rsidRPr="00AC7C6D">
              <w:rPr>
                <w:rFonts w:ascii="Bookman Old Style" w:hAnsi="Bookman Old Style" w:cs="Calibri"/>
                <w:color w:val="000000"/>
                <w:sz w:val="16"/>
                <w:szCs w:val="16"/>
                <w:lang w:val="uk-UA"/>
              </w:rPr>
              <w:t xml:space="preserve"> </w:t>
            </w:r>
            <w:r>
              <w:rPr>
                <w:rFonts w:ascii="Bookman Old Style" w:hAnsi="Bookman Old Style" w:cs="Calibri"/>
                <w:color w:val="000000"/>
                <w:sz w:val="16"/>
                <w:szCs w:val="16"/>
                <w:lang w:val="en-US"/>
              </w:rPr>
              <w:t>banks</w:t>
            </w:r>
            <w:r w:rsidRPr="00AC7C6D">
              <w:rPr>
                <w:rFonts w:ascii="Bookman Old Style" w:hAnsi="Bookman Old Style" w:cs="Calibri"/>
                <w:color w:val="000000"/>
                <w:sz w:val="16"/>
                <w:szCs w:val="16"/>
                <w:lang w:val="uk-UA"/>
              </w:rPr>
              <w:t xml:space="preserve"> </w:t>
            </w:r>
            <w:r>
              <w:rPr>
                <w:rFonts w:ascii="Bookman Old Style" w:hAnsi="Bookman Old Style" w:cs="Calibri"/>
                <w:color w:val="000000"/>
                <w:sz w:val="16"/>
                <w:szCs w:val="16"/>
                <w:lang w:val="en-US"/>
              </w:rPr>
              <w:t>and</w:t>
            </w:r>
            <w:r w:rsidRPr="00AC7C6D">
              <w:rPr>
                <w:rFonts w:ascii="Bookman Old Style" w:hAnsi="Bookman Old Style" w:cs="Calibri"/>
                <w:color w:val="000000"/>
                <w:sz w:val="16"/>
                <w:szCs w:val="16"/>
                <w:lang w:val="uk-UA"/>
              </w:rPr>
              <w:t xml:space="preserve"> </w:t>
            </w:r>
            <w:r>
              <w:rPr>
                <w:rFonts w:ascii="Bookman Old Style" w:hAnsi="Bookman Old Style" w:cs="Calibri"/>
                <w:color w:val="000000"/>
                <w:sz w:val="16"/>
                <w:szCs w:val="16"/>
                <w:lang w:val="en-US"/>
              </w:rPr>
              <w:t>financial</w:t>
            </w:r>
            <w:r w:rsidRPr="00AC7C6D">
              <w:rPr>
                <w:rFonts w:ascii="Bookman Old Style" w:hAnsi="Bookman Old Style" w:cs="Calibri"/>
                <w:color w:val="000000"/>
                <w:sz w:val="16"/>
                <w:szCs w:val="16"/>
                <w:lang w:val="uk-UA"/>
              </w:rPr>
              <w:t xml:space="preserve"> </w:t>
            </w:r>
            <w:r>
              <w:rPr>
                <w:rFonts w:ascii="Bookman Old Style" w:hAnsi="Bookman Old Style" w:cs="Calibri"/>
                <w:color w:val="000000"/>
                <w:sz w:val="16"/>
                <w:szCs w:val="16"/>
                <w:lang w:val="en-US"/>
              </w:rPr>
              <w:t>organizations</w:t>
            </w:r>
            <w:r w:rsidRPr="00AC7C6D">
              <w:rPr>
                <w:rFonts w:ascii="Bookman Old Style" w:hAnsi="Bookman Old Style" w:cs="Calibri"/>
                <w:color w:val="000000"/>
                <w:sz w:val="16"/>
                <w:szCs w:val="16"/>
                <w:lang w:val="uk-UA"/>
              </w:rPr>
              <w:t xml:space="preserve"> </w:t>
            </w:r>
          </w:p>
        </w:tc>
        <w:tc>
          <w:tcPr>
            <w:tcW w:w="472" w:type="pct"/>
            <w:shd w:val="clear" w:color="auto" w:fill="auto"/>
            <w:noWrap/>
            <w:vAlign w:val="center"/>
            <w:hideMark/>
          </w:tcPr>
          <w:p w14:paraId="2961C934"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65</w:t>
            </w:r>
          </w:p>
        </w:tc>
        <w:tc>
          <w:tcPr>
            <w:tcW w:w="450" w:type="pct"/>
            <w:shd w:val="clear" w:color="auto" w:fill="auto"/>
            <w:noWrap/>
            <w:vAlign w:val="center"/>
            <w:hideMark/>
          </w:tcPr>
          <w:p w14:paraId="2770A5AF"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0,02%</w:t>
            </w:r>
          </w:p>
        </w:tc>
        <w:tc>
          <w:tcPr>
            <w:tcW w:w="472" w:type="pct"/>
            <w:shd w:val="clear" w:color="auto" w:fill="auto"/>
            <w:noWrap/>
            <w:vAlign w:val="center"/>
            <w:hideMark/>
          </w:tcPr>
          <w:p w14:paraId="27910397"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234</w:t>
            </w:r>
          </w:p>
        </w:tc>
        <w:tc>
          <w:tcPr>
            <w:tcW w:w="450" w:type="pct"/>
            <w:shd w:val="clear" w:color="auto" w:fill="auto"/>
            <w:noWrap/>
            <w:vAlign w:val="center"/>
            <w:hideMark/>
          </w:tcPr>
          <w:p w14:paraId="0143899B"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0,09%</w:t>
            </w:r>
          </w:p>
        </w:tc>
        <w:tc>
          <w:tcPr>
            <w:tcW w:w="867" w:type="pct"/>
            <w:shd w:val="clear" w:color="auto" w:fill="auto"/>
            <w:noWrap/>
            <w:vAlign w:val="center"/>
            <w:hideMark/>
          </w:tcPr>
          <w:p w14:paraId="1702B94E"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-72,22%</w:t>
            </w:r>
          </w:p>
        </w:tc>
      </w:tr>
      <w:tr w:rsidR="007D4D24" w:rsidRPr="00AF79C9" w14:paraId="1CC7FB81" w14:textId="77777777" w:rsidTr="007D4D24">
        <w:trPr>
          <w:trHeight w:val="60"/>
          <w:jc w:val="center"/>
        </w:trPr>
        <w:tc>
          <w:tcPr>
            <w:tcW w:w="2289" w:type="pct"/>
            <w:shd w:val="clear" w:color="auto" w:fill="auto"/>
            <w:vAlign w:val="center"/>
            <w:hideMark/>
          </w:tcPr>
          <w:p w14:paraId="2FD659AE" w14:textId="70C813C7" w:rsidR="007D4D24" w:rsidRPr="00AF79C9" w:rsidRDefault="007D4D24">
            <w:pPr>
              <w:rPr>
                <w:rFonts w:ascii="Bookman Old Style" w:hAnsi="Bookman Old Style" w:cs="Calibri"/>
                <w:color w:val="000000"/>
                <w:sz w:val="16"/>
                <w:szCs w:val="16"/>
                <w:lang w:val="uk-UA"/>
              </w:rPr>
            </w:pPr>
            <w:r>
              <w:rPr>
                <w:rFonts w:ascii="Bookman Old Style" w:hAnsi="Bookman Old Style" w:cs="Calibri"/>
                <w:color w:val="000000"/>
                <w:sz w:val="16"/>
                <w:szCs w:val="16"/>
                <w:lang w:val="en-US"/>
              </w:rPr>
              <w:t>Funds of clients</w:t>
            </w:r>
          </w:p>
        </w:tc>
        <w:tc>
          <w:tcPr>
            <w:tcW w:w="472" w:type="pct"/>
            <w:shd w:val="clear" w:color="auto" w:fill="auto"/>
            <w:noWrap/>
            <w:vAlign w:val="center"/>
            <w:hideMark/>
          </w:tcPr>
          <w:p w14:paraId="4D3B3F47"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217718</w:t>
            </w:r>
          </w:p>
        </w:tc>
        <w:tc>
          <w:tcPr>
            <w:tcW w:w="450" w:type="pct"/>
            <w:shd w:val="clear" w:color="auto" w:fill="auto"/>
            <w:noWrap/>
            <w:vAlign w:val="center"/>
            <w:hideMark/>
          </w:tcPr>
          <w:p w14:paraId="74F7632D"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81,87%</w:t>
            </w:r>
          </w:p>
        </w:tc>
        <w:tc>
          <w:tcPr>
            <w:tcW w:w="472" w:type="pct"/>
            <w:shd w:val="clear" w:color="auto" w:fill="auto"/>
            <w:noWrap/>
            <w:vAlign w:val="center"/>
            <w:hideMark/>
          </w:tcPr>
          <w:p w14:paraId="51A4B420"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208566</w:t>
            </w:r>
          </w:p>
        </w:tc>
        <w:tc>
          <w:tcPr>
            <w:tcW w:w="450" w:type="pct"/>
            <w:shd w:val="clear" w:color="auto" w:fill="auto"/>
            <w:noWrap/>
            <w:vAlign w:val="center"/>
            <w:hideMark/>
          </w:tcPr>
          <w:p w14:paraId="369F165A"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80,51%</w:t>
            </w:r>
          </w:p>
        </w:tc>
        <w:tc>
          <w:tcPr>
            <w:tcW w:w="867" w:type="pct"/>
            <w:shd w:val="clear" w:color="auto" w:fill="auto"/>
            <w:noWrap/>
            <w:vAlign w:val="center"/>
            <w:hideMark/>
          </w:tcPr>
          <w:p w14:paraId="102955A9"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4,39%</w:t>
            </w:r>
          </w:p>
        </w:tc>
      </w:tr>
      <w:tr w:rsidR="007D4D24" w:rsidRPr="00AF79C9" w14:paraId="5F6EFD8D" w14:textId="77777777" w:rsidTr="007D4D24">
        <w:trPr>
          <w:trHeight w:val="58"/>
          <w:jc w:val="center"/>
        </w:trPr>
        <w:tc>
          <w:tcPr>
            <w:tcW w:w="2289" w:type="pct"/>
            <w:shd w:val="clear" w:color="auto" w:fill="auto"/>
            <w:hideMark/>
          </w:tcPr>
          <w:p w14:paraId="3F0845CD" w14:textId="40B3C007" w:rsidR="007D4D24" w:rsidRPr="00AF79C9" w:rsidRDefault="007D4D24">
            <w:pPr>
              <w:rPr>
                <w:rFonts w:ascii="Bookman Old Style" w:hAnsi="Bookman Old Style" w:cs="Calibri"/>
                <w:b/>
                <w:bCs/>
                <w:color w:val="000000"/>
                <w:sz w:val="16"/>
                <w:szCs w:val="16"/>
                <w:lang w:val="uk-UA"/>
              </w:rPr>
            </w:pPr>
            <w:r w:rsidRPr="009E526A">
              <w:rPr>
                <w:rFonts w:ascii="Bookman Old Style" w:hAnsi="Bookman Old Style"/>
                <w:b/>
                <w:sz w:val="16"/>
                <w:szCs w:val="16"/>
                <w:lang w:val="en-US"/>
              </w:rPr>
              <w:t>Total liabilities</w:t>
            </w:r>
            <w:r w:rsidRPr="009E526A">
              <w:rPr>
                <w:rFonts w:ascii="Bookman Old Style" w:hAnsi="Bookman Old Style"/>
                <w:b/>
                <w:sz w:val="16"/>
                <w:szCs w:val="16"/>
              </w:rPr>
              <w:t>:</w:t>
            </w:r>
          </w:p>
        </w:tc>
        <w:tc>
          <w:tcPr>
            <w:tcW w:w="472" w:type="pct"/>
            <w:shd w:val="clear" w:color="auto" w:fill="auto"/>
            <w:noWrap/>
            <w:vAlign w:val="center"/>
            <w:hideMark/>
          </w:tcPr>
          <w:p w14:paraId="3B6A9D51"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237898</w:t>
            </w:r>
          </w:p>
        </w:tc>
        <w:tc>
          <w:tcPr>
            <w:tcW w:w="450" w:type="pct"/>
            <w:shd w:val="clear" w:color="auto" w:fill="auto"/>
            <w:noWrap/>
            <w:vAlign w:val="center"/>
            <w:hideMark/>
          </w:tcPr>
          <w:p w14:paraId="04221016"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89,46%</w:t>
            </w:r>
          </w:p>
        </w:tc>
        <w:tc>
          <w:tcPr>
            <w:tcW w:w="472" w:type="pct"/>
            <w:shd w:val="clear" w:color="auto" w:fill="auto"/>
            <w:noWrap/>
            <w:vAlign w:val="center"/>
            <w:hideMark/>
          </w:tcPr>
          <w:p w14:paraId="29CFBF6F"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233454</w:t>
            </w:r>
          </w:p>
        </w:tc>
        <w:tc>
          <w:tcPr>
            <w:tcW w:w="450" w:type="pct"/>
            <w:shd w:val="clear" w:color="auto" w:fill="auto"/>
            <w:noWrap/>
            <w:vAlign w:val="center"/>
            <w:hideMark/>
          </w:tcPr>
          <w:p w14:paraId="21EFDBF2"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90,12%</w:t>
            </w:r>
          </w:p>
        </w:tc>
        <w:tc>
          <w:tcPr>
            <w:tcW w:w="867" w:type="pct"/>
            <w:shd w:val="clear" w:color="auto" w:fill="auto"/>
            <w:noWrap/>
            <w:vAlign w:val="center"/>
            <w:hideMark/>
          </w:tcPr>
          <w:p w14:paraId="09D5857F"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1,90%</w:t>
            </w:r>
          </w:p>
        </w:tc>
      </w:tr>
      <w:tr w:rsidR="007D4D24" w:rsidRPr="00AF79C9" w14:paraId="7721E3BD" w14:textId="77777777" w:rsidTr="007D4D24">
        <w:trPr>
          <w:trHeight w:val="60"/>
          <w:jc w:val="center"/>
        </w:trPr>
        <w:tc>
          <w:tcPr>
            <w:tcW w:w="2289" w:type="pct"/>
            <w:shd w:val="clear" w:color="auto" w:fill="auto"/>
            <w:hideMark/>
          </w:tcPr>
          <w:p w14:paraId="4001EEB4" w14:textId="411F6FEC" w:rsidR="007D4D24" w:rsidRPr="00AF79C9" w:rsidRDefault="007D4D24">
            <w:pPr>
              <w:rPr>
                <w:rFonts w:ascii="Bookman Old Style" w:hAnsi="Bookman Old Style" w:cs="Calibri"/>
                <w:color w:val="000000"/>
                <w:sz w:val="16"/>
                <w:szCs w:val="16"/>
                <w:lang w:val="uk-UA"/>
              </w:rPr>
            </w:pPr>
            <w:r w:rsidRPr="009E526A">
              <w:rPr>
                <w:rFonts w:ascii="Bookman Old Style" w:hAnsi="Bookman Old Style"/>
                <w:sz w:val="16"/>
                <w:szCs w:val="16"/>
                <w:lang w:val="en-US"/>
              </w:rPr>
              <w:t xml:space="preserve">Authorized capital of the bank </w:t>
            </w:r>
          </w:p>
        </w:tc>
        <w:tc>
          <w:tcPr>
            <w:tcW w:w="472" w:type="pct"/>
            <w:shd w:val="clear" w:color="auto" w:fill="auto"/>
            <w:noWrap/>
            <w:vAlign w:val="center"/>
            <w:hideMark/>
          </w:tcPr>
          <w:p w14:paraId="252F391F"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206060</w:t>
            </w:r>
          </w:p>
        </w:tc>
        <w:tc>
          <w:tcPr>
            <w:tcW w:w="450" w:type="pct"/>
            <w:shd w:val="clear" w:color="auto" w:fill="auto"/>
            <w:noWrap/>
            <w:vAlign w:val="center"/>
            <w:hideMark/>
          </w:tcPr>
          <w:p w14:paraId="1FAF29EA"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77,48%</w:t>
            </w:r>
          </w:p>
        </w:tc>
        <w:tc>
          <w:tcPr>
            <w:tcW w:w="472" w:type="pct"/>
            <w:shd w:val="clear" w:color="auto" w:fill="auto"/>
            <w:noWrap/>
            <w:vAlign w:val="center"/>
            <w:hideMark/>
          </w:tcPr>
          <w:p w14:paraId="1DE7ACB5"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206060</w:t>
            </w:r>
          </w:p>
        </w:tc>
        <w:tc>
          <w:tcPr>
            <w:tcW w:w="450" w:type="pct"/>
            <w:shd w:val="clear" w:color="auto" w:fill="auto"/>
            <w:noWrap/>
            <w:vAlign w:val="center"/>
            <w:hideMark/>
          </w:tcPr>
          <w:p w14:paraId="5BD96628"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79,54%</w:t>
            </w:r>
          </w:p>
        </w:tc>
        <w:tc>
          <w:tcPr>
            <w:tcW w:w="867" w:type="pct"/>
            <w:shd w:val="clear" w:color="auto" w:fill="auto"/>
            <w:noWrap/>
            <w:vAlign w:val="center"/>
            <w:hideMark/>
          </w:tcPr>
          <w:p w14:paraId="3E30F488"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0,00%</w:t>
            </w:r>
          </w:p>
        </w:tc>
      </w:tr>
      <w:tr w:rsidR="007D4D24" w:rsidRPr="00AF79C9" w14:paraId="7294FBC5" w14:textId="77777777" w:rsidTr="008417E7">
        <w:trPr>
          <w:trHeight w:val="60"/>
          <w:jc w:val="center"/>
        </w:trPr>
        <w:tc>
          <w:tcPr>
            <w:tcW w:w="2289" w:type="pct"/>
            <w:shd w:val="clear" w:color="auto" w:fill="auto"/>
            <w:hideMark/>
          </w:tcPr>
          <w:p w14:paraId="6A2ABDCC" w14:textId="12F86FFB" w:rsidR="007D4D24" w:rsidRPr="00AF79C9" w:rsidRDefault="007D4D24">
            <w:pPr>
              <w:rPr>
                <w:rFonts w:ascii="Bookman Old Style" w:hAnsi="Bookman Old Style" w:cs="Calibri"/>
                <w:b/>
                <w:bCs/>
                <w:color w:val="000000"/>
                <w:sz w:val="16"/>
                <w:szCs w:val="16"/>
                <w:lang w:val="uk-UA"/>
              </w:rPr>
            </w:pPr>
            <w:r w:rsidRPr="009E526A">
              <w:rPr>
                <w:rFonts w:ascii="Bookman Old Style" w:hAnsi="Bookman Old Style"/>
                <w:b/>
                <w:sz w:val="16"/>
                <w:szCs w:val="16"/>
                <w:lang w:val="en-US"/>
              </w:rPr>
              <w:t>Total shareholders’ equity</w:t>
            </w:r>
            <w:r w:rsidRPr="009E526A">
              <w:rPr>
                <w:rFonts w:ascii="Bookman Old Style" w:hAnsi="Bookman Old Style"/>
                <w:b/>
                <w:sz w:val="16"/>
                <w:szCs w:val="16"/>
              </w:rPr>
              <w:t>:</w:t>
            </w:r>
          </w:p>
        </w:tc>
        <w:tc>
          <w:tcPr>
            <w:tcW w:w="472" w:type="pct"/>
            <w:shd w:val="clear" w:color="auto" w:fill="auto"/>
            <w:noWrap/>
            <w:vAlign w:val="center"/>
            <w:hideMark/>
          </w:tcPr>
          <w:p w14:paraId="04C029EF" w14:textId="77777777" w:rsidR="007D4D24" w:rsidRPr="00AF79C9" w:rsidRDefault="007D4D24">
            <w:pPr>
              <w:jc w:val="right"/>
              <w:rPr>
                <w:rFonts w:ascii="Bookman Old Style" w:hAnsi="Bookman Old Style" w:cs="Calibri"/>
                <w:b/>
                <w:bCs/>
                <w:color w:val="000000"/>
                <w:sz w:val="16"/>
                <w:szCs w:val="16"/>
                <w:lang w:val="uk-UA"/>
              </w:rPr>
            </w:pPr>
            <w:r w:rsidRPr="00AF79C9">
              <w:rPr>
                <w:rFonts w:ascii="Bookman Old Style" w:hAnsi="Bookman Old Style" w:cs="Calibri"/>
                <w:b/>
                <w:bCs/>
                <w:color w:val="000000"/>
                <w:sz w:val="16"/>
                <w:szCs w:val="16"/>
                <w:lang w:val="uk-UA"/>
              </w:rPr>
              <w:t>28038</w:t>
            </w:r>
          </w:p>
        </w:tc>
        <w:tc>
          <w:tcPr>
            <w:tcW w:w="450" w:type="pct"/>
            <w:shd w:val="clear" w:color="auto" w:fill="auto"/>
            <w:noWrap/>
            <w:vAlign w:val="center"/>
            <w:hideMark/>
          </w:tcPr>
          <w:p w14:paraId="5B155BBD"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10,54%</w:t>
            </w:r>
          </w:p>
        </w:tc>
        <w:tc>
          <w:tcPr>
            <w:tcW w:w="472" w:type="pct"/>
            <w:shd w:val="clear" w:color="auto" w:fill="auto"/>
            <w:noWrap/>
            <w:vAlign w:val="center"/>
            <w:hideMark/>
          </w:tcPr>
          <w:p w14:paraId="5D6D380D" w14:textId="77777777" w:rsidR="007D4D24" w:rsidRPr="00AF79C9" w:rsidRDefault="007D4D24">
            <w:pPr>
              <w:jc w:val="right"/>
              <w:rPr>
                <w:rFonts w:ascii="Bookman Old Style" w:hAnsi="Bookman Old Style" w:cs="Calibri"/>
                <w:b/>
                <w:bCs/>
                <w:color w:val="000000"/>
                <w:sz w:val="16"/>
                <w:szCs w:val="16"/>
                <w:lang w:val="uk-UA"/>
              </w:rPr>
            </w:pPr>
            <w:r w:rsidRPr="00AF79C9">
              <w:rPr>
                <w:rFonts w:ascii="Bookman Old Style" w:hAnsi="Bookman Old Style" w:cs="Calibri"/>
                <w:b/>
                <w:bCs/>
                <w:color w:val="000000"/>
                <w:sz w:val="16"/>
                <w:szCs w:val="16"/>
                <w:lang w:val="uk-UA"/>
              </w:rPr>
              <w:t>25608</w:t>
            </w:r>
          </w:p>
        </w:tc>
        <w:tc>
          <w:tcPr>
            <w:tcW w:w="450" w:type="pct"/>
            <w:shd w:val="clear" w:color="auto" w:fill="auto"/>
            <w:noWrap/>
            <w:vAlign w:val="center"/>
            <w:hideMark/>
          </w:tcPr>
          <w:p w14:paraId="420C351F"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9,88%</w:t>
            </w:r>
          </w:p>
        </w:tc>
        <w:tc>
          <w:tcPr>
            <w:tcW w:w="867" w:type="pct"/>
            <w:shd w:val="clear" w:color="auto" w:fill="auto"/>
            <w:noWrap/>
            <w:vAlign w:val="center"/>
            <w:hideMark/>
          </w:tcPr>
          <w:p w14:paraId="695EBD67"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9,49%</w:t>
            </w:r>
          </w:p>
        </w:tc>
      </w:tr>
      <w:tr w:rsidR="007D4D24" w:rsidRPr="00AF79C9" w14:paraId="2D887365" w14:textId="77777777" w:rsidTr="007D4D24">
        <w:trPr>
          <w:trHeight w:val="60"/>
          <w:jc w:val="center"/>
        </w:trPr>
        <w:tc>
          <w:tcPr>
            <w:tcW w:w="2289" w:type="pct"/>
            <w:shd w:val="clear" w:color="auto" w:fill="auto"/>
            <w:vAlign w:val="center"/>
            <w:hideMark/>
          </w:tcPr>
          <w:p w14:paraId="588BAF39" w14:textId="136F2628" w:rsidR="007D4D24" w:rsidRPr="00AF79C9" w:rsidRDefault="007D4D24">
            <w:pPr>
              <w:rPr>
                <w:rFonts w:ascii="Bookman Old Style" w:hAnsi="Bookman Old Style" w:cs="Calibri"/>
                <w:color w:val="000000"/>
                <w:sz w:val="16"/>
                <w:szCs w:val="16"/>
                <w:lang w:val="uk-UA"/>
              </w:rPr>
            </w:pPr>
            <w:r w:rsidRPr="009E526A">
              <w:rPr>
                <w:rFonts w:ascii="Bookman Old Style" w:hAnsi="Bookman Old Style"/>
                <w:sz w:val="16"/>
                <w:szCs w:val="16"/>
                <w:lang w:val="en-US"/>
              </w:rPr>
              <w:t>Cash and its equivalents</w:t>
            </w:r>
            <w:r>
              <w:rPr>
                <w:rFonts w:ascii="Bookman Old Style" w:hAnsi="Bookman Old Style"/>
                <w:sz w:val="16"/>
                <w:szCs w:val="16"/>
                <w:lang w:val="en-US"/>
              </w:rPr>
              <w:t xml:space="preserve"> and mandatory reserves </w:t>
            </w:r>
          </w:p>
        </w:tc>
        <w:tc>
          <w:tcPr>
            <w:tcW w:w="472" w:type="pct"/>
            <w:shd w:val="clear" w:color="auto" w:fill="auto"/>
            <w:noWrap/>
            <w:vAlign w:val="center"/>
            <w:hideMark/>
          </w:tcPr>
          <w:p w14:paraId="01CE04E3"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22586</w:t>
            </w:r>
          </w:p>
        </w:tc>
        <w:tc>
          <w:tcPr>
            <w:tcW w:w="450" w:type="pct"/>
            <w:shd w:val="clear" w:color="auto" w:fill="auto"/>
            <w:noWrap/>
            <w:vAlign w:val="center"/>
            <w:hideMark/>
          </w:tcPr>
          <w:p w14:paraId="579E3083"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8,49%</w:t>
            </w:r>
          </w:p>
        </w:tc>
        <w:tc>
          <w:tcPr>
            <w:tcW w:w="472" w:type="pct"/>
            <w:shd w:val="clear" w:color="auto" w:fill="auto"/>
            <w:noWrap/>
            <w:vAlign w:val="center"/>
            <w:hideMark/>
          </w:tcPr>
          <w:p w14:paraId="6AB7E655"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19697</w:t>
            </w:r>
          </w:p>
        </w:tc>
        <w:tc>
          <w:tcPr>
            <w:tcW w:w="450" w:type="pct"/>
            <w:shd w:val="clear" w:color="auto" w:fill="auto"/>
            <w:noWrap/>
            <w:vAlign w:val="center"/>
            <w:hideMark/>
          </w:tcPr>
          <w:p w14:paraId="2C0C4C6E"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7,60%</w:t>
            </w:r>
          </w:p>
        </w:tc>
        <w:tc>
          <w:tcPr>
            <w:tcW w:w="867" w:type="pct"/>
            <w:shd w:val="clear" w:color="auto" w:fill="auto"/>
            <w:noWrap/>
            <w:vAlign w:val="center"/>
            <w:hideMark/>
          </w:tcPr>
          <w:p w14:paraId="6EDCF3F8"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14,67%</w:t>
            </w:r>
          </w:p>
        </w:tc>
      </w:tr>
      <w:tr w:rsidR="007D4D24" w:rsidRPr="00AF79C9" w14:paraId="33E396CB" w14:textId="77777777" w:rsidTr="007D4D24">
        <w:trPr>
          <w:trHeight w:val="90"/>
          <w:jc w:val="center"/>
        </w:trPr>
        <w:tc>
          <w:tcPr>
            <w:tcW w:w="2289" w:type="pct"/>
            <w:shd w:val="clear" w:color="auto" w:fill="auto"/>
            <w:vAlign w:val="center"/>
            <w:hideMark/>
          </w:tcPr>
          <w:p w14:paraId="66BFBEBC" w14:textId="4C2301EE" w:rsidR="007D4D24" w:rsidRPr="00AF79C9" w:rsidRDefault="007D4D24">
            <w:pPr>
              <w:rPr>
                <w:rFonts w:ascii="Bookman Old Style" w:hAnsi="Bookman Old Style" w:cs="Calibri"/>
                <w:color w:val="000000"/>
                <w:sz w:val="16"/>
                <w:szCs w:val="16"/>
                <w:lang w:val="uk-UA"/>
              </w:rPr>
            </w:pPr>
            <w:proofErr w:type="spellStart"/>
            <w:r w:rsidRPr="00A769C0">
              <w:rPr>
                <w:rFonts w:ascii="Bookman Old Style" w:hAnsi="Bookman Old Style" w:cs="Calibri"/>
                <w:color w:val="000000"/>
                <w:sz w:val="16"/>
                <w:szCs w:val="16"/>
                <w:lang w:val="uk-UA"/>
              </w:rPr>
              <w:t>Financial</w:t>
            </w:r>
            <w:proofErr w:type="spellEnd"/>
            <w:r w:rsidRPr="00A769C0">
              <w:rPr>
                <w:rFonts w:ascii="Bookman Old Style" w:hAnsi="Bookman Old Style" w:cs="Calibri"/>
                <w:color w:val="000000"/>
                <w:sz w:val="16"/>
                <w:szCs w:val="16"/>
                <w:lang w:val="uk-UA"/>
              </w:rPr>
              <w:t xml:space="preserve"> </w:t>
            </w:r>
            <w:proofErr w:type="spellStart"/>
            <w:r w:rsidRPr="00A769C0">
              <w:rPr>
                <w:rFonts w:ascii="Bookman Old Style" w:hAnsi="Bookman Old Style" w:cs="Calibri"/>
                <w:color w:val="000000"/>
                <w:sz w:val="16"/>
                <w:szCs w:val="16"/>
                <w:lang w:val="uk-UA"/>
              </w:rPr>
              <w:t>assets</w:t>
            </w:r>
            <w:proofErr w:type="spellEnd"/>
            <w:r w:rsidRPr="00A769C0">
              <w:rPr>
                <w:rFonts w:ascii="Bookman Old Style" w:hAnsi="Bookman Old Style" w:cs="Calibri"/>
                <w:color w:val="000000"/>
                <w:sz w:val="16"/>
                <w:szCs w:val="16"/>
                <w:lang w:val="uk-UA"/>
              </w:rPr>
              <w:t xml:space="preserve"> </w:t>
            </w:r>
            <w:proofErr w:type="spellStart"/>
            <w:r w:rsidRPr="00A769C0">
              <w:rPr>
                <w:rFonts w:ascii="Bookman Old Style" w:hAnsi="Bookman Old Style" w:cs="Calibri"/>
                <w:color w:val="000000"/>
                <w:sz w:val="16"/>
                <w:szCs w:val="16"/>
                <w:lang w:val="uk-UA"/>
              </w:rPr>
              <w:t>at</w:t>
            </w:r>
            <w:proofErr w:type="spellEnd"/>
            <w:r w:rsidRPr="00A769C0">
              <w:rPr>
                <w:rFonts w:ascii="Bookman Old Style" w:hAnsi="Bookman Old Style" w:cs="Calibri"/>
                <w:color w:val="000000"/>
                <w:sz w:val="16"/>
                <w:szCs w:val="16"/>
                <w:lang w:val="uk-UA"/>
              </w:rPr>
              <w:t xml:space="preserve"> </w:t>
            </w:r>
            <w:proofErr w:type="spellStart"/>
            <w:r w:rsidRPr="00A769C0">
              <w:rPr>
                <w:rFonts w:ascii="Bookman Old Style" w:hAnsi="Bookman Old Style" w:cs="Calibri"/>
                <w:color w:val="000000"/>
                <w:sz w:val="16"/>
                <w:szCs w:val="16"/>
                <w:lang w:val="uk-UA"/>
              </w:rPr>
              <w:t>fair</w:t>
            </w:r>
            <w:proofErr w:type="spellEnd"/>
            <w:r w:rsidRPr="00A769C0">
              <w:rPr>
                <w:rFonts w:ascii="Bookman Old Style" w:hAnsi="Bookman Old Style" w:cs="Calibri"/>
                <w:color w:val="000000"/>
                <w:sz w:val="16"/>
                <w:szCs w:val="16"/>
                <w:lang w:val="uk-UA"/>
              </w:rPr>
              <w:t xml:space="preserve"> </w:t>
            </w:r>
            <w:proofErr w:type="spellStart"/>
            <w:r w:rsidRPr="00A769C0">
              <w:rPr>
                <w:rFonts w:ascii="Bookman Old Style" w:hAnsi="Bookman Old Style" w:cs="Calibri"/>
                <w:color w:val="000000"/>
                <w:sz w:val="16"/>
                <w:szCs w:val="16"/>
                <w:lang w:val="uk-UA"/>
              </w:rPr>
              <w:t>value</w:t>
            </w:r>
            <w:proofErr w:type="spellEnd"/>
            <w:r w:rsidRPr="00A769C0">
              <w:rPr>
                <w:rFonts w:ascii="Bookman Old Style" w:hAnsi="Bookman Old Style" w:cs="Calibri"/>
                <w:color w:val="000000"/>
                <w:sz w:val="16"/>
                <w:szCs w:val="16"/>
                <w:lang w:val="uk-UA"/>
              </w:rPr>
              <w:t xml:space="preserve"> </w:t>
            </w:r>
            <w:proofErr w:type="spellStart"/>
            <w:r w:rsidRPr="00A769C0">
              <w:rPr>
                <w:rFonts w:ascii="Bookman Old Style" w:hAnsi="Bookman Old Style" w:cs="Calibri"/>
                <w:color w:val="000000"/>
                <w:sz w:val="16"/>
                <w:szCs w:val="16"/>
                <w:lang w:val="uk-UA"/>
              </w:rPr>
              <w:t>through</w:t>
            </w:r>
            <w:proofErr w:type="spellEnd"/>
            <w:r w:rsidRPr="00A769C0">
              <w:rPr>
                <w:rFonts w:ascii="Bookman Old Style" w:hAnsi="Bookman Old Style" w:cs="Calibri"/>
                <w:color w:val="000000"/>
                <w:sz w:val="16"/>
                <w:szCs w:val="16"/>
                <w:lang w:val="uk-UA"/>
              </w:rPr>
              <w:t xml:space="preserve"> </w:t>
            </w:r>
            <w:proofErr w:type="spellStart"/>
            <w:r w:rsidRPr="00A769C0">
              <w:rPr>
                <w:rFonts w:ascii="Bookman Old Style" w:hAnsi="Bookman Old Style" w:cs="Calibri"/>
                <w:color w:val="000000"/>
                <w:sz w:val="16"/>
                <w:szCs w:val="16"/>
                <w:lang w:val="uk-UA"/>
              </w:rPr>
              <w:t>profit</w:t>
            </w:r>
            <w:proofErr w:type="spellEnd"/>
            <w:r w:rsidRPr="00A769C0">
              <w:rPr>
                <w:rFonts w:ascii="Bookman Old Style" w:hAnsi="Bookman Old Style" w:cs="Calibri"/>
                <w:color w:val="000000"/>
                <w:sz w:val="16"/>
                <w:szCs w:val="16"/>
                <w:lang w:val="uk-UA"/>
              </w:rPr>
              <w:t xml:space="preserve"> </w:t>
            </w:r>
            <w:proofErr w:type="spellStart"/>
            <w:r w:rsidRPr="00A769C0">
              <w:rPr>
                <w:rFonts w:ascii="Bookman Old Style" w:hAnsi="Bookman Old Style" w:cs="Calibri"/>
                <w:color w:val="000000"/>
                <w:sz w:val="16"/>
                <w:szCs w:val="16"/>
                <w:lang w:val="uk-UA"/>
              </w:rPr>
              <w:t>or</w:t>
            </w:r>
            <w:proofErr w:type="spellEnd"/>
            <w:r w:rsidRPr="00A769C0">
              <w:rPr>
                <w:rFonts w:ascii="Bookman Old Style" w:hAnsi="Bookman Old Style" w:cs="Calibri"/>
                <w:color w:val="000000"/>
                <w:sz w:val="16"/>
                <w:szCs w:val="16"/>
                <w:lang w:val="uk-UA"/>
              </w:rPr>
              <w:t xml:space="preserve"> </w:t>
            </w:r>
            <w:proofErr w:type="spellStart"/>
            <w:r w:rsidRPr="00A769C0">
              <w:rPr>
                <w:rFonts w:ascii="Bookman Old Style" w:hAnsi="Bookman Old Style" w:cs="Calibri"/>
                <w:color w:val="000000"/>
                <w:sz w:val="16"/>
                <w:szCs w:val="16"/>
                <w:lang w:val="uk-UA"/>
              </w:rPr>
              <w:t>loss</w:t>
            </w:r>
            <w:proofErr w:type="spellEnd"/>
          </w:p>
        </w:tc>
        <w:tc>
          <w:tcPr>
            <w:tcW w:w="472" w:type="pct"/>
            <w:shd w:val="clear" w:color="auto" w:fill="auto"/>
            <w:noWrap/>
            <w:vAlign w:val="center"/>
            <w:hideMark/>
          </w:tcPr>
          <w:p w14:paraId="6505125A"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83412</w:t>
            </w:r>
          </w:p>
        </w:tc>
        <w:tc>
          <w:tcPr>
            <w:tcW w:w="450" w:type="pct"/>
            <w:shd w:val="clear" w:color="auto" w:fill="auto"/>
            <w:noWrap/>
            <w:vAlign w:val="center"/>
            <w:hideMark/>
          </w:tcPr>
          <w:p w14:paraId="0E9E01A8"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31,37%</w:t>
            </w:r>
          </w:p>
        </w:tc>
        <w:tc>
          <w:tcPr>
            <w:tcW w:w="472" w:type="pct"/>
            <w:shd w:val="clear" w:color="auto" w:fill="auto"/>
            <w:noWrap/>
            <w:vAlign w:val="center"/>
            <w:hideMark/>
          </w:tcPr>
          <w:p w14:paraId="5EB24047"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34435</w:t>
            </w:r>
          </w:p>
        </w:tc>
        <w:tc>
          <w:tcPr>
            <w:tcW w:w="450" w:type="pct"/>
            <w:shd w:val="clear" w:color="auto" w:fill="auto"/>
            <w:noWrap/>
            <w:vAlign w:val="center"/>
            <w:hideMark/>
          </w:tcPr>
          <w:p w14:paraId="7758D11C"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13,29%</w:t>
            </w:r>
          </w:p>
        </w:tc>
        <w:tc>
          <w:tcPr>
            <w:tcW w:w="867" w:type="pct"/>
            <w:shd w:val="clear" w:color="auto" w:fill="auto"/>
            <w:noWrap/>
            <w:vAlign w:val="center"/>
            <w:hideMark/>
          </w:tcPr>
          <w:p w14:paraId="255B1FE7"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142,23%</w:t>
            </w:r>
          </w:p>
        </w:tc>
      </w:tr>
      <w:tr w:rsidR="007D4D24" w:rsidRPr="00AF79C9" w14:paraId="17DC223C" w14:textId="77777777" w:rsidTr="007D4D24">
        <w:trPr>
          <w:trHeight w:val="60"/>
          <w:jc w:val="center"/>
        </w:trPr>
        <w:tc>
          <w:tcPr>
            <w:tcW w:w="2289" w:type="pct"/>
            <w:shd w:val="clear" w:color="auto" w:fill="auto"/>
            <w:vAlign w:val="center"/>
            <w:hideMark/>
          </w:tcPr>
          <w:p w14:paraId="3D1CB43A" w14:textId="0D4CBB5D" w:rsidR="007D4D24" w:rsidRPr="00AF79C9" w:rsidRDefault="007D4D24">
            <w:pPr>
              <w:rPr>
                <w:rFonts w:ascii="Bookman Old Style" w:hAnsi="Bookman Old Style" w:cs="Calibri"/>
                <w:color w:val="000000"/>
                <w:sz w:val="16"/>
                <w:szCs w:val="16"/>
                <w:lang w:val="uk-UA"/>
              </w:rPr>
            </w:pPr>
            <w:r>
              <w:rPr>
                <w:rFonts w:ascii="Bookman Old Style" w:hAnsi="Bookman Old Style" w:cs="Calibri"/>
                <w:color w:val="000000"/>
                <w:sz w:val="16"/>
                <w:szCs w:val="16"/>
                <w:lang w:val="en-US"/>
              </w:rPr>
              <w:t>Funds in other banks</w:t>
            </w:r>
          </w:p>
        </w:tc>
        <w:tc>
          <w:tcPr>
            <w:tcW w:w="472" w:type="pct"/>
            <w:shd w:val="clear" w:color="auto" w:fill="auto"/>
            <w:noWrap/>
            <w:vAlign w:val="center"/>
            <w:hideMark/>
          </w:tcPr>
          <w:p w14:paraId="113ADDAE"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6508</w:t>
            </w:r>
          </w:p>
        </w:tc>
        <w:tc>
          <w:tcPr>
            <w:tcW w:w="450" w:type="pct"/>
            <w:shd w:val="clear" w:color="auto" w:fill="auto"/>
            <w:noWrap/>
            <w:vAlign w:val="center"/>
            <w:hideMark/>
          </w:tcPr>
          <w:p w14:paraId="1A571010"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2,45%</w:t>
            </w:r>
          </w:p>
        </w:tc>
        <w:tc>
          <w:tcPr>
            <w:tcW w:w="472" w:type="pct"/>
            <w:shd w:val="clear" w:color="auto" w:fill="auto"/>
            <w:noWrap/>
            <w:vAlign w:val="center"/>
            <w:hideMark/>
          </w:tcPr>
          <w:p w14:paraId="191003F7"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7937</w:t>
            </w:r>
          </w:p>
        </w:tc>
        <w:tc>
          <w:tcPr>
            <w:tcW w:w="450" w:type="pct"/>
            <w:shd w:val="clear" w:color="auto" w:fill="auto"/>
            <w:noWrap/>
            <w:vAlign w:val="center"/>
            <w:hideMark/>
          </w:tcPr>
          <w:p w14:paraId="1674DF84"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3,06%</w:t>
            </w:r>
          </w:p>
        </w:tc>
        <w:tc>
          <w:tcPr>
            <w:tcW w:w="867" w:type="pct"/>
            <w:shd w:val="clear" w:color="auto" w:fill="auto"/>
            <w:noWrap/>
            <w:vAlign w:val="center"/>
            <w:hideMark/>
          </w:tcPr>
          <w:p w14:paraId="1CAF9B0E"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-18,00%</w:t>
            </w:r>
          </w:p>
        </w:tc>
      </w:tr>
      <w:tr w:rsidR="007D4D24" w:rsidRPr="00AF79C9" w14:paraId="3934AD1D" w14:textId="77777777" w:rsidTr="00524885">
        <w:trPr>
          <w:trHeight w:val="60"/>
          <w:jc w:val="center"/>
        </w:trPr>
        <w:tc>
          <w:tcPr>
            <w:tcW w:w="2289" w:type="pct"/>
            <w:shd w:val="clear" w:color="auto" w:fill="auto"/>
            <w:hideMark/>
          </w:tcPr>
          <w:p w14:paraId="731A0979" w14:textId="05AE15B8" w:rsidR="007D4D24" w:rsidRPr="00AF79C9" w:rsidRDefault="007D4D24">
            <w:pPr>
              <w:rPr>
                <w:rFonts w:ascii="Bookman Old Style" w:hAnsi="Bookman Old Style" w:cs="Calibri"/>
                <w:b/>
                <w:bCs/>
                <w:color w:val="000000"/>
                <w:sz w:val="16"/>
                <w:szCs w:val="16"/>
                <w:lang w:val="uk-UA"/>
              </w:rPr>
            </w:pPr>
            <w:r w:rsidRPr="009E526A">
              <w:rPr>
                <w:rFonts w:ascii="Bookman Old Style" w:hAnsi="Bookman Old Style"/>
                <w:b/>
                <w:sz w:val="16"/>
                <w:szCs w:val="16"/>
                <w:lang w:val="en-US"/>
              </w:rPr>
              <w:t>Customer credits and debt</w:t>
            </w:r>
          </w:p>
        </w:tc>
        <w:tc>
          <w:tcPr>
            <w:tcW w:w="472" w:type="pct"/>
            <w:shd w:val="clear" w:color="auto" w:fill="auto"/>
            <w:noWrap/>
            <w:vAlign w:val="center"/>
            <w:hideMark/>
          </w:tcPr>
          <w:p w14:paraId="48EA5135" w14:textId="77777777" w:rsidR="007D4D24" w:rsidRPr="00AF79C9" w:rsidRDefault="007D4D24">
            <w:pPr>
              <w:jc w:val="right"/>
              <w:rPr>
                <w:rFonts w:ascii="Bookman Old Style" w:hAnsi="Bookman Old Style" w:cs="Calibri"/>
                <w:b/>
                <w:bCs/>
                <w:color w:val="000000"/>
                <w:sz w:val="16"/>
                <w:szCs w:val="16"/>
                <w:lang w:val="uk-UA"/>
              </w:rPr>
            </w:pPr>
            <w:r w:rsidRPr="00AF79C9">
              <w:rPr>
                <w:rFonts w:ascii="Bookman Old Style" w:hAnsi="Bookman Old Style" w:cs="Calibri"/>
                <w:b/>
                <w:bCs/>
                <w:color w:val="000000"/>
                <w:sz w:val="16"/>
                <w:szCs w:val="16"/>
                <w:lang w:val="uk-UA"/>
              </w:rPr>
              <w:t>44011</w:t>
            </w:r>
          </w:p>
        </w:tc>
        <w:tc>
          <w:tcPr>
            <w:tcW w:w="450" w:type="pct"/>
            <w:shd w:val="clear" w:color="auto" w:fill="auto"/>
            <w:noWrap/>
            <w:vAlign w:val="center"/>
            <w:hideMark/>
          </w:tcPr>
          <w:p w14:paraId="603A279B"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16,55%</w:t>
            </w:r>
          </w:p>
        </w:tc>
        <w:tc>
          <w:tcPr>
            <w:tcW w:w="472" w:type="pct"/>
            <w:shd w:val="clear" w:color="auto" w:fill="auto"/>
            <w:noWrap/>
            <w:vAlign w:val="center"/>
            <w:hideMark/>
          </w:tcPr>
          <w:p w14:paraId="320E5ED8" w14:textId="77777777" w:rsidR="007D4D24" w:rsidRPr="00AF79C9" w:rsidRDefault="007D4D24">
            <w:pPr>
              <w:jc w:val="right"/>
              <w:rPr>
                <w:rFonts w:ascii="Bookman Old Style" w:hAnsi="Bookman Old Style" w:cs="Calibri"/>
                <w:b/>
                <w:bCs/>
                <w:color w:val="000000"/>
                <w:sz w:val="16"/>
                <w:szCs w:val="16"/>
                <w:lang w:val="uk-UA"/>
              </w:rPr>
            </w:pPr>
            <w:r w:rsidRPr="00AF79C9">
              <w:rPr>
                <w:rFonts w:ascii="Bookman Old Style" w:hAnsi="Bookman Old Style" w:cs="Calibri"/>
                <w:b/>
                <w:bCs/>
                <w:color w:val="000000"/>
                <w:sz w:val="16"/>
                <w:szCs w:val="16"/>
                <w:lang w:val="uk-UA"/>
              </w:rPr>
              <w:t>38118</w:t>
            </w:r>
          </w:p>
        </w:tc>
        <w:tc>
          <w:tcPr>
            <w:tcW w:w="450" w:type="pct"/>
            <w:shd w:val="clear" w:color="auto" w:fill="auto"/>
            <w:noWrap/>
            <w:vAlign w:val="center"/>
            <w:hideMark/>
          </w:tcPr>
          <w:p w14:paraId="6C594FC5"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14,71%</w:t>
            </w:r>
          </w:p>
        </w:tc>
        <w:tc>
          <w:tcPr>
            <w:tcW w:w="867" w:type="pct"/>
            <w:shd w:val="clear" w:color="auto" w:fill="auto"/>
            <w:noWrap/>
            <w:vAlign w:val="center"/>
            <w:hideMark/>
          </w:tcPr>
          <w:p w14:paraId="39562776"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15,46%</w:t>
            </w:r>
          </w:p>
        </w:tc>
      </w:tr>
      <w:tr w:rsidR="007D4D24" w:rsidRPr="00AF79C9" w14:paraId="58D45505" w14:textId="77777777" w:rsidTr="007D4D24">
        <w:trPr>
          <w:trHeight w:val="60"/>
          <w:jc w:val="center"/>
        </w:trPr>
        <w:tc>
          <w:tcPr>
            <w:tcW w:w="2289" w:type="pct"/>
            <w:shd w:val="clear" w:color="auto" w:fill="auto"/>
            <w:vAlign w:val="center"/>
            <w:hideMark/>
          </w:tcPr>
          <w:p w14:paraId="34E203CF" w14:textId="4EE3ACCA" w:rsidR="007D4D24" w:rsidRPr="00AF79C9" w:rsidRDefault="007D4D24">
            <w:pPr>
              <w:rPr>
                <w:rFonts w:ascii="Bookman Old Style" w:hAnsi="Bookman Old Style" w:cs="Calibri"/>
                <w:color w:val="000000"/>
                <w:sz w:val="16"/>
                <w:szCs w:val="16"/>
                <w:lang w:val="uk-UA"/>
              </w:rPr>
            </w:pPr>
            <w:r>
              <w:rPr>
                <w:rFonts w:ascii="Bookman Old Style" w:hAnsi="Bookman Old Style" w:cs="Calibri"/>
                <w:color w:val="000000"/>
                <w:sz w:val="16"/>
                <w:szCs w:val="16"/>
                <w:lang w:val="en-US"/>
              </w:rPr>
              <w:t>Securities</w:t>
            </w:r>
            <w:r w:rsidRPr="00A769C0">
              <w:rPr>
                <w:rFonts w:ascii="Bookman Old Style" w:hAnsi="Bookman Old Style" w:cs="Calibri"/>
                <w:color w:val="000000"/>
                <w:sz w:val="16"/>
                <w:szCs w:val="16"/>
                <w:lang w:val="uk-UA"/>
              </w:rPr>
              <w:t xml:space="preserve"> </w:t>
            </w:r>
            <w:r>
              <w:rPr>
                <w:rFonts w:ascii="Bookman Old Style" w:hAnsi="Bookman Old Style" w:cs="Calibri"/>
                <w:color w:val="000000"/>
                <w:sz w:val="16"/>
                <w:szCs w:val="16"/>
                <w:lang w:val="en-US"/>
              </w:rPr>
              <w:t>at</w:t>
            </w:r>
            <w:r w:rsidRPr="00A769C0">
              <w:rPr>
                <w:rFonts w:ascii="Bookman Old Style" w:hAnsi="Bookman Old Style" w:cs="Calibri"/>
                <w:color w:val="000000"/>
                <w:sz w:val="16"/>
                <w:szCs w:val="16"/>
                <w:lang w:val="uk-UA"/>
              </w:rPr>
              <w:t xml:space="preserve"> </w:t>
            </w:r>
            <w:r>
              <w:rPr>
                <w:rFonts w:ascii="Bookman Old Style" w:hAnsi="Bookman Old Style" w:cs="Calibri"/>
                <w:color w:val="000000"/>
                <w:sz w:val="16"/>
                <w:szCs w:val="16"/>
                <w:lang w:val="en-US"/>
              </w:rPr>
              <w:t>fair</w:t>
            </w:r>
            <w:r w:rsidRPr="00A769C0">
              <w:rPr>
                <w:rFonts w:ascii="Bookman Old Style" w:hAnsi="Bookman Old Style" w:cs="Calibri"/>
                <w:color w:val="000000"/>
                <w:sz w:val="16"/>
                <w:szCs w:val="16"/>
                <w:lang w:val="uk-UA"/>
              </w:rPr>
              <w:t xml:space="preserve"> </w:t>
            </w:r>
            <w:r>
              <w:rPr>
                <w:rFonts w:ascii="Bookman Old Style" w:hAnsi="Bookman Old Style" w:cs="Calibri"/>
                <w:color w:val="000000"/>
                <w:sz w:val="16"/>
                <w:szCs w:val="16"/>
                <w:lang w:val="en-US"/>
              </w:rPr>
              <w:t>value</w:t>
            </w:r>
            <w:r w:rsidRPr="00A769C0">
              <w:rPr>
                <w:rFonts w:ascii="Bookman Old Style" w:hAnsi="Bookman Old Style" w:cs="Calibri"/>
                <w:color w:val="000000"/>
                <w:sz w:val="16"/>
                <w:szCs w:val="16"/>
                <w:lang w:val="uk-UA"/>
              </w:rPr>
              <w:t xml:space="preserve"> </w:t>
            </w:r>
            <w:r>
              <w:rPr>
                <w:rFonts w:ascii="Bookman Old Style" w:hAnsi="Bookman Old Style" w:cs="Calibri"/>
                <w:color w:val="000000"/>
                <w:sz w:val="16"/>
                <w:szCs w:val="16"/>
                <w:lang w:val="en-US"/>
              </w:rPr>
              <w:t>through</w:t>
            </w:r>
            <w:r w:rsidRPr="00A769C0">
              <w:rPr>
                <w:rFonts w:ascii="Bookman Old Style" w:hAnsi="Bookman Old Style" w:cs="Calibri"/>
                <w:color w:val="000000"/>
                <w:sz w:val="16"/>
                <w:szCs w:val="16"/>
                <w:lang w:val="uk-UA"/>
              </w:rPr>
              <w:t xml:space="preserve"> </w:t>
            </w:r>
            <w:r>
              <w:rPr>
                <w:rFonts w:ascii="Bookman Old Style" w:hAnsi="Bookman Old Style" w:cs="Calibri"/>
                <w:color w:val="000000"/>
                <w:sz w:val="16"/>
                <w:szCs w:val="16"/>
                <w:lang w:val="en-US"/>
              </w:rPr>
              <w:t>other</w:t>
            </w:r>
            <w:r w:rsidRPr="00A769C0">
              <w:rPr>
                <w:rFonts w:ascii="Bookman Old Style" w:hAnsi="Bookman Old Style" w:cs="Calibri"/>
                <w:color w:val="000000"/>
                <w:sz w:val="16"/>
                <w:szCs w:val="16"/>
                <w:lang w:val="uk-UA"/>
              </w:rPr>
              <w:t xml:space="preserve"> </w:t>
            </w:r>
            <w:r>
              <w:rPr>
                <w:rFonts w:ascii="Bookman Old Style" w:hAnsi="Bookman Old Style" w:cs="Calibri"/>
                <w:color w:val="000000"/>
                <w:sz w:val="16"/>
                <w:szCs w:val="16"/>
                <w:lang w:val="en-US"/>
              </w:rPr>
              <w:t>total</w:t>
            </w:r>
            <w:r w:rsidRPr="00A769C0">
              <w:rPr>
                <w:rFonts w:ascii="Bookman Old Style" w:hAnsi="Bookman Old Style" w:cs="Calibri"/>
                <w:color w:val="000000"/>
                <w:sz w:val="16"/>
                <w:szCs w:val="16"/>
                <w:lang w:val="uk-UA"/>
              </w:rPr>
              <w:t xml:space="preserve"> </w:t>
            </w:r>
            <w:r>
              <w:rPr>
                <w:rFonts w:ascii="Bookman Old Style" w:hAnsi="Bookman Old Style" w:cs="Calibri"/>
                <w:color w:val="000000"/>
                <w:sz w:val="16"/>
                <w:szCs w:val="16"/>
                <w:lang w:val="en-US"/>
              </w:rPr>
              <w:t>income</w:t>
            </w:r>
            <w:r w:rsidRPr="00A769C0">
              <w:rPr>
                <w:rFonts w:ascii="Bookman Old Style" w:hAnsi="Bookman Old Style" w:cs="Calibri"/>
                <w:color w:val="000000"/>
                <w:sz w:val="16"/>
                <w:szCs w:val="16"/>
                <w:lang w:val="uk-UA"/>
              </w:rPr>
              <w:t xml:space="preserve"> </w:t>
            </w:r>
          </w:p>
        </w:tc>
        <w:tc>
          <w:tcPr>
            <w:tcW w:w="472" w:type="pct"/>
            <w:shd w:val="clear" w:color="auto" w:fill="auto"/>
            <w:noWrap/>
            <w:vAlign w:val="center"/>
            <w:hideMark/>
          </w:tcPr>
          <w:p w14:paraId="5DB8E09B" w14:textId="77777777" w:rsidR="007D4D24" w:rsidRPr="00AF79C9" w:rsidRDefault="007D4D24">
            <w:pPr>
              <w:jc w:val="right"/>
              <w:rPr>
                <w:rFonts w:ascii="Bookman Old Style" w:hAnsi="Bookman Old Style" w:cs="Calibri"/>
                <w:b/>
                <w:bCs/>
                <w:color w:val="000000"/>
                <w:sz w:val="16"/>
                <w:szCs w:val="16"/>
                <w:lang w:val="uk-UA"/>
              </w:rPr>
            </w:pPr>
            <w:r w:rsidRPr="00AF79C9">
              <w:rPr>
                <w:rFonts w:ascii="Bookman Old Style" w:hAnsi="Bookman Old Style" w:cs="Calibri"/>
                <w:b/>
                <w:bCs/>
                <w:color w:val="000000"/>
                <w:sz w:val="16"/>
                <w:szCs w:val="16"/>
                <w:lang w:val="uk-UA"/>
              </w:rPr>
              <w:t>60130</w:t>
            </w:r>
          </w:p>
        </w:tc>
        <w:tc>
          <w:tcPr>
            <w:tcW w:w="450" w:type="pct"/>
            <w:shd w:val="clear" w:color="auto" w:fill="auto"/>
            <w:noWrap/>
            <w:vAlign w:val="center"/>
            <w:hideMark/>
          </w:tcPr>
          <w:p w14:paraId="188D944B"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22,61%</w:t>
            </w:r>
          </w:p>
        </w:tc>
        <w:tc>
          <w:tcPr>
            <w:tcW w:w="472" w:type="pct"/>
            <w:shd w:val="clear" w:color="auto" w:fill="auto"/>
            <w:noWrap/>
            <w:vAlign w:val="center"/>
            <w:hideMark/>
          </w:tcPr>
          <w:p w14:paraId="0A7ED000" w14:textId="77777777" w:rsidR="007D4D24" w:rsidRPr="00AF79C9" w:rsidRDefault="007D4D24">
            <w:pPr>
              <w:jc w:val="right"/>
              <w:rPr>
                <w:rFonts w:ascii="Bookman Old Style" w:hAnsi="Bookman Old Style" w:cs="Calibri"/>
                <w:b/>
                <w:bCs/>
                <w:color w:val="000000"/>
                <w:sz w:val="16"/>
                <w:szCs w:val="16"/>
                <w:lang w:val="uk-UA"/>
              </w:rPr>
            </w:pPr>
            <w:r w:rsidRPr="00AF79C9">
              <w:rPr>
                <w:rFonts w:ascii="Bookman Old Style" w:hAnsi="Bookman Old Style" w:cs="Calibri"/>
                <w:b/>
                <w:bCs/>
                <w:color w:val="000000"/>
                <w:sz w:val="16"/>
                <w:szCs w:val="16"/>
                <w:lang w:val="uk-UA"/>
              </w:rPr>
              <w:t>90224</w:t>
            </w:r>
          </w:p>
        </w:tc>
        <w:tc>
          <w:tcPr>
            <w:tcW w:w="450" w:type="pct"/>
            <w:shd w:val="clear" w:color="auto" w:fill="auto"/>
            <w:noWrap/>
            <w:vAlign w:val="center"/>
            <w:hideMark/>
          </w:tcPr>
          <w:p w14:paraId="3DFE3FCE"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34,83%</w:t>
            </w:r>
          </w:p>
        </w:tc>
        <w:tc>
          <w:tcPr>
            <w:tcW w:w="867" w:type="pct"/>
            <w:shd w:val="clear" w:color="auto" w:fill="auto"/>
            <w:noWrap/>
            <w:vAlign w:val="center"/>
            <w:hideMark/>
          </w:tcPr>
          <w:p w14:paraId="5DE29754"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-33,35%</w:t>
            </w:r>
          </w:p>
        </w:tc>
      </w:tr>
      <w:tr w:rsidR="007D4D24" w:rsidRPr="00AF79C9" w14:paraId="3A0193F4" w14:textId="77777777" w:rsidTr="007D4D24">
        <w:trPr>
          <w:trHeight w:val="60"/>
          <w:jc w:val="center"/>
        </w:trPr>
        <w:tc>
          <w:tcPr>
            <w:tcW w:w="2289" w:type="pct"/>
            <w:shd w:val="clear" w:color="auto" w:fill="auto"/>
            <w:vAlign w:val="center"/>
            <w:hideMark/>
          </w:tcPr>
          <w:p w14:paraId="64CE830C" w14:textId="3AB8CFA6" w:rsidR="007D4D24" w:rsidRPr="00AF79C9" w:rsidRDefault="007D4D24">
            <w:pPr>
              <w:rPr>
                <w:rFonts w:ascii="Bookman Old Style" w:hAnsi="Bookman Old Style" w:cs="Calibri"/>
                <w:color w:val="000000"/>
                <w:sz w:val="16"/>
                <w:szCs w:val="16"/>
                <w:lang w:val="uk-UA"/>
              </w:rPr>
            </w:pPr>
            <w:proofErr w:type="spellStart"/>
            <w:r w:rsidRPr="00A769C0">
              <w:rPr>
                <w:rFonts w:ascii="Bookman Old Style" w:hAnsi="Bookman Old Style" w:cs="Calibri"/>
                <w:color w:val="000000"/>
                <w:sz w:val="16"/>
                <w:szCs w:val="16"/>
                <w:lang w:val="uk-UA"/>
              </w:rPr>
              <w:t>Securities</w:t>
            </w:r>
            <w:proofErr w:type="spellEnd"/>
            <w:r w:rsidRPr="00A769C0">
              <w:rPr>
                <w:rFonts w:ascii="Bookman Old Style" w:hAnsi="Bookman Old Style" w:cs="Calibri"/>
                <w:color w:val="000000"/>
                <w:sz w:val="16"/>
                <w:szCs w:val="16"/>
                <w:lang w:val="uk-UA"/>
              </w:rPr>
              <w:t xml:space="preserve"> </w:t>
            </w:r>
            <w:proofErr w:type="spellStart"/>
            <w:r w:rsidRPr="00A769C0">
              <w:rPr>
                <w:rFonts w:ascii="Bookman Old Style" w:hAnsi="Bookman Old Style" w:cs="Calibri"/>
                <w:color w:val="000000"/>
                <w:sz w:val="16"/>
                <w:szCs w:val="16"/>
                <w:lang w:val="uk-UA"/>
              </w:rPr>
              <w:t>at</w:t>
            </w:r>
            <w:proofErr w:type="spellEnd"/>
            <w:r w:rsidRPr="00A769C0">
              <w:rPr>
                <w:rFonts w:ascii="Bookman Old Style" w:hAnsi="Bookman Old Style" w:cs="Calibri"/>
                <w:color w:val="000000"/>
                <w:sz w:val="16"/>
                <w:szCs w:val="16"/>
                <w:lang w:val="uk-UA"/>
              </w:rPr>
              <w:t xml:space="preserve"> </w:t>
            </w:r>
            <w:proofErr w:type="spellStart"/>
            <w:r w:rsidRPr="00A769C0">
              <w:rPr>
                <w:rFonts w:ascii="Bookman Old Style" w:hAnsi="Bookman Old Style" w:cs="Calibri"/>
                <w:color w:val="000000"/>
                <w:sz w:val="16"/>
                <w:szCs w:val="16"/>
                <w:lang w:val="uk-UA"/>
              </w:rPr>
              <w:t>amortized</w:t>
            </w:r>
            <w:proofErr w:type="spellEnd"/>
            <w:r w:rsidRPr="00A769C0">
              <w:rPr>
                <w:rFonts w:ascii="Bookman Old Style" w:hAnsi="Bookman Old Style" w:cs="Calibri"/>
                <w:color w:val="000000"/>
                <w:sz w:val="16"/>
                <w:szCs w:val="16"/>
                <w:lang w:val="uk-UA"/>
              </w:rPr>
              <w:t xml:space="preserve"> </w:t>
            </w:r>
            <w:proofErr w:type="spellStart"/>
            <w:r w:rsidRPr="00A769C0">
              <w:rPr>
                <w:rFonts w:ascii="Bookman Old Style" w:hAnsi="Bookman Old Style" w:cs="Calibri"/>
                <w:color w:val="000000"/>
                <w:sz w:val="16"/>
                <w:szCs w:val="16"/>
                <w:lang w:val="uk-UA"/>
              </w:rPr>
              <w:t>cost</w:t>
            </w:r>
            <w:proofErr w:type="spellEnd"/>
          </w:p>
        </w:tc>
        <w:tc>
          <w:tcPr>
            <w:tcW w:w="472" w:type="pct"/>
            <w:shd w:val="clear" w:color="auto" w:fill="auto"/>
            <w:noWrap/>
            <w:vAlign w:val="center"/>
            <w:hideMark/>
          </w:tcPr>
          <w:p w14:paraId="61864238" w14:textId="77777777" w:rsidR="007D4D24" w:rsidRPr="00AF79C9" w:rsidRDefault="007D4D24">
            <w:pPr>
              <w:jc w:val="right"/>
              <w:rPr>
                <w:rFonts w:ascii="Bookman Old Style" w:hAnsi="Bookman Old Style" w:cs="Calibri"/>
                <w:b/>
                <w:bCs/>
                <w:color w:val="000000"/>
                <w:sz w:val="16"/>
                <w:szCs w:val="16"/>
                <w:lang w:val="uk-UA"/>
              </w:rPr>
            </w:pPr>
            <w:r w:rsidRPr="00AF79C9">
              <w:rPr>
                <w:rFonts w:ascii="Bookman Old Style" w:hAnsi="Bookman Old Style" w:cs="Calibri"/>
                <w:b/>
                <w:bCs/>
                <w:color w:val="000000"/>
                <w:sz w:val="16"/>
                <w:szCs w:val="16"/>
                <w:lang w:val="uk-UA"/>
              </w:rPr>
              <w:t>22300</w:t>
            </w:r>
          </w:p>
        </w:tc>
        <w:tc>
          <w:tcPr>
            <w:tcW w:w="450" w:type="pct"/>
            <w:shd w:val="clear" w:color="auto" w:fill="auto"/>
            <w:noWrap/>
            <w:vAlign w:val="center"/>
            <w:hideMark/>
          </w:tcPr>
          <w:p w14:paraId="76A73688"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8,39%</w:t>
            </w:r>
          </w:p>
        </w:tc>
        <w:tc>
          <w:tcPr>
            <w:tcW w:w="472" w:type="pct"/>
            <w:shd w:val="clear" w:color="auto" w:fill="auto"/>
            <w:noWrap/>
            <w:vAlign w:val="center"/>
            <w:hideMark/>
          </w:tcPr>
          <w:p w14:paraId="07E3F798" w14:textId="77777777" w:rsidR="007D4D24" w:rsidRPr="00AF79C9" w:rsidRDefault="007D4D24">
            <w:pPr>
              <w:jc w:val="right"/>
              <w:rPr>
                <w:rFonts w:ascii="Bookman Old Style" w:hAnsi="Bookman Old Style" w:cs="Calibri"/>
                <w:b/>
                <w:bCs/>
                <w:color w:val="000000"/>
                <w:sz w:val="16"/>
                <w:szCs w:val="16"/>
                <w:lang w:val="uk-UA"/>
              </w:rPr>
            </w:pPr>
            <w:r w:rsidRPr="00AF79C9">
              <w:rPr>
                <w:rFonts w:ascii="Bookman Old Style" w:hAnsi="Bookman Old Style" w:cs="Calibri"/>
                <w:b/>
                <w:bCs/>
                <w:color w:val="000000"/>
                <w:sz w:val="16"/>
                <w:szCs w:val="16"/>
                <w:lang w:val="uk-UA"/>
              </w:rPr>
              <w:t>39175</w:t>
            </w:r>
          </w:p>
        </w:tc>
        <w:tc>
          <w:tcPr>
            <w:tcW w:w="450" w:type="pct"/>
            <w:shd w:val="clear" w:color="auto" w:fill="auto"/>
            <w:noWrap/>
            <w:vAlign w:val="center"/>
            <w:hideMark/>
          </w:tcPr>
          <w:p w14:paraId="4F9E432E"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15,12%</w:t>
            </w:r>
          </w:p>
        </w:tc>
        <w:tc>
          <w:tcPr>
            <w:tcW w:w="867" w:type="pct"/>
            <w:shd w:val="clear" w:color="auto" w:fill="auto"/>
            <w:noWrap/>
            <w:vAlign w:val="center"/>
            <w:hideMark/>
          </w:tcPr>
          <w:p w14:paraId="05842810"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-43,08%</w:t>
            </w:r>
          </w:p>
        </w:tc>
      </w:tr>
      <w:tr w:rsidR="007D4D24" w:rsidRPr="00AF79C9" w14:paraId="6AF20229" w14:textId="77777777" w:rsidTr="005C1EF0">
        <w:trPr>
          <w:trHeight w:val="60"/>
          <w:jc w:val="center"/>
        </w:trPr>
        <w:tc>
          <w:tcPr>
            <w:tcW w:w="2289" w:type="pct"/>
            <w:shd w:val="clear" w:color="auto" w:fill="auto"/>
            <w:hideMark/>
          </w:tcPr>
          <w:p w14:paraId="6995BC93" w14:textId="3628BFAF" w:rsidR="007D4D24" w:rsidRPr="00AF79C9" w:rsidRDefault="007D4D24">
            <w:pPr>
              <w:rPr>
                <w:rFonts w:ascii="Bookman Old Style" w:hAnsi="Bookman Old Style" w:cs="Calibri"/>
                <w:color w:val="000000"/>
                <w:sz w:val="16"/>
                <w:szCs w:val="16"/>
                <w:lang w:val="uk-UA"/>
              </w:rPr>
            </w:pPr>
            <w:r w:rsidRPr="009E526A">
              <w:rPr>
                <w:rFonts w:ascii="Bookman Old Style" w:hAnsi="Bookman Old Style"/>
                <w:sz w:val="16"/>
                <w:szCs w:val="16"/>
                <w:lang w:val="en-US"/>
              </w:rPr>
              <w:t>Other financial assets</w:t>
            </w:r>
          </w:p>
        </w:tc>
        <w:tc>
          <w:tcPr>
            <w:tcW w:w="472" w:type="pct"/>
            <w:shd w:val="clear" w:color="auto" w:fill="auto"/>
            <w:noWrap/>
            <w:vAlign w:val="center"/>
            <w:hideMark/>
          </w:tcPr>
          <w:p w14:paraId="30703170"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10130</w:t>
            </w:r>
          </w:p>
        </w:tc>
        <w:tc>
          <w:tcPr>
            <w:tcW w:w="450" w:type="pct"/>
            <w:shd w:val="clear" w:color="auto" w:fill="auto"/>
            <w:noWrap/>
            <w:vAlign w:val="center"/>
            <w:hideMark/>
          </w:tcPr>
          <w:p w14:paraId="5B256DF4"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3,81%</w:t>
            </w:r>
          </w:p>
        </w:tc>
        <w:tc>
          <w:tcPr>
            <w:tcW w:w="472" w:type="pct"/>
            <w:shd w:val="clear" w:color="auto" w:fill="auto"/>
            <w:noWrap/>
            <w:vAlign w:val="center"/>
            <w:hideMark/>
          </w:tcPr>
          <w:p w14:paraId="45F8026E"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11483</w:t>
            </w:r>
          </w:p>
        </w:tc>
        <w:tc>
          <w:tcPr>
            <w:tcW w:w="450" w:type="pct"/>
            <w:shd w:val="clear" w:color="auto" w:fill="auto"/>
            <w:noWrap/>
            <w:vAlign w:val="center"/>
            <w:hideMark/>
          </w:tcPr>
          <w:p w14:paraId="5682192A"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4,43%</w:t>
            </w:r>
          </w:p>
        </w:tc>
        <w:tc>
          <w:tcPr>
            <w:tcW w:w="867" w:type="pct"/>
            <w:shd w:val="clear" w:color="auto" w:fill="auto"/>
            <w:noWrap/>
            <w:vAlign w:val="center"/>
            <w:hideMark/>
          </w:tcPr>
          <w:p w14:paraId="580C4CFA"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-11,78%</w:t>
            </w:r>
          </w:p>
        </w:tc>
      </w:tr>
      <w:tr w:rsidR="007D4D24" w:rsidRPr="00AF79C9" w14:paraId="1C49DE2F" w14:textId="77777777" w:rsidTr="007D4D24">
        <w:trPr>
          <w:trHeight w:val="60"/>
          <w:jc w:val="center"/>
        </w:trPr>
        <w:tc>
          <w:tcPr>
            <w:tcW w:w="2289" w:type="pct"/>
            <w:shd w:val="clear" w:color="auto" w:fill="auto"/>
            <w:vAlign w:val="center"/>
            <w:hideMark/>
          </w:tcPr>
          <w:p w14:paraId="6149DBF3" w14:textId="5D7E3C14" w:rsidR="007D4D24" w:rsidRPr="00AF79C9" w:rsidRDefault="007D4D24">
            <w:pPr>
              <w:rPr>
                <w:rFonts w:ascii="Bookman Old Style" w:hAnsi="Bookman Old Style" w:cs="Calibri"/>
                <w:color w:val="000000"/>
                <w:sz w:val="16"/>
                <w:szCs w:val="16"/>
                <w:lang w:val="uk-UA"/>
              </w:rPr>
            </w:pPr>
            <w:r>
              <w:rPr>
                <w:rFonts w:ascii="Bookman Old Style" w:hAnsi="Bookman Old Style" w:cs="Calibri"/>
                <w:color w:val="000000"/>
                <w:sz w:val="16"/>
                <w:szCs w:val="16"/>
                <w:lang w:val="en-US"/>
              </w:rPr>
              <w:t>Other assets</w:t>
            </w:r>
          </w:p>
        </w:tc>
        <w:tc>
          <w:tcPr>
            <w:tcW w:w="472" w:type="pct"/>
            <w:shd w:val="clear" w:color="auto" w:fill="auto"/>
            <w:noWrap/>
            <w:vAlign w:val="center"/>
            <w:hideMark/>
          </w:tcPr>
          <w:p w14:paraId="6987D942"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9740</w:t>
            </w:r>
          </w:p>
        </w:tc>
        <w:tc>
          <w:tcPr>
            <w:tcW w:w="450" w:type="pct"/>
            <w:shd w:val="clear" w:color="auto" w:fill="auto"/>
            <w:noWrap/>
            <w:vAlign w:val="center"/>
            <w:hideMark/>
          </w:tcPr>
          <w:p w14:paraId="1BA6ACF8"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3,66%</w:t>
            </w:r>
          </w:p>
        </w:tc>
        <w:tc>
          <w:tcPr>
            <w:tcW w:w="472" w:type="pct"/>
            <w:shd w:val="clear" w:color="auto" w:fill="auto"/>
            <w:noWrap/>
            <w:vAlign w:val="center"/>
            <w:hideMark/>
          </w:tcPr>
          <w:p w14:paraId="64466076"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13526</w:t>
            </w:r>
          </w:p>
        </w:tc>
        <w:tc>
          <w:tcPr>
            <w:tcW w:w="450" w:type="pct"/>
            <w:shd w:val="clear" w:color="auto" w:fill="auto"/>
            <w:noWrap/>
            <w:vAlign w:val="center"/>
            <w:hideMark/>
          </w:tcPr>
          <w:p w14:paraId="7AEF7BCF"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5,22%</w:t>
            </w:r>
          </w:p>
        </w:tc>
        <w:tc>
          <w:tcPr>
            <w:tcW w:w="867" w:type="pct"/>
            <w:shd w:val="clear" w:color="auto" w:fill="auto"/>
            <w:noWrap/>
            <w:vAlign w:val="center"/>
            <w:hideMark/>
          </w:tcPr>
          <w:p w14:paraId="506DB872"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-27,99%</w:t>
            </w:r>
          </w:p>
        </w:tc>
      </w:tr>
      <w:tr w:rsidR="007D4D24" w:rsidRPr="00AF79C9" w14:paraId="32B74735" w14:textId="77777777" w:rsidTr="005C1EF0">
        <w:trPr>
          <w:trHeight w:val="60"/>
          <w:jc w:val="center"/>
        </w:trPr>
        <w:tc>
          <w:tcPr>
            <w:tcW w:w="2289" w:type="pct"/>
            <w:shd w:val="clear" w:color="auto" w:fill="auto"/>
            <w:hideMark/>
          </w:tcPr>
          <w:p w14:paraId="58DD72B6" w14:textId="2D00D9FA" w:rsidR="007D4D24" w:rsidRPr="00AF79C9" w:rsidRDefault="007D4D24">
            <w:pPr>
              <w:rPr>
                <w:rFonts w:ascii="Bookman Old Style" w:hAnsi="Bookman Old Style" w:cs="Calibri"/>
                <w:b/>
                <w:bCs/>
                <w:color w:val="000000"/>
                <w:sz w:val="16"/>
                <w:szCs w:val="16"/>
                <w:lang w:val="uk-UA"/>
              </w:rPr>
            </w:pPr>
            <w:r w:rsidRPr="009E526A">
              <w:rPr>
                <w:rFonts w:ascii="Bookman Old Style" w:hAnsi="Bookman Old Style"/>
                <w:b/>
                <w:sz w:val="16"/>
                <w:szCs w:val="16"/>
                <w:lang w:val="en-US"/>
              </w:rPr>
              <w:t>Total assets</w:t>
            </w:r>
            <w:r w:rsidRPr="009E526A">
              <w:rPr>
                <w:rFonts w:ascii="Bookman Old Style" w:hAnsi="Bookman Old Style"/>
                <w:b/>
                <w:sz w:val="16"/>
                <w:szCs w:val="16"/>
              </w:rPr>
              <w:t>:</w:t>
            </w:r>
          </w:p>
        </w:tc>
        <w:tc>
          <w:tcPr>
            <w:tcW w:w="472" w:type="pct"/>
            <w:shd w:val="clear" w:color="auto" w:fill="auto"/>
            <w:noWrap/>
            <w:vAlign w:val="center"/>
            <w:hideMark/>
          </w:tcPr>
          <w:p w14:paraId="42868E74"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265936</w:t>
            </w:r>
          </w:p>
        </w:tc>
        <w:tc>
          <w:tcPr>
            <w:tcW w:w="450" w:type="pct"/>
            <w:shd w:val="clear" w:color="auto" w:fill="auto"/>
            <w:noWrap/>
            <w:vAlign w:val="center"/>
            <w:hideMark/>
          </w:tcPr>
          <w:p w14:paraId="3F13C5EB"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100,00%</w:t>
            </w:r>
          </w:p>
        </w:tc>
        <w:tc>
          <w:tcPr>
            <w:tcW w:w="472" w:type="pct"/>
            <w:shd w:val="clear" w:color="auto" w:fill="auto"/>
            <w:noWrap/>
            <w:vAlign w:val="center"/>
            <w:hideMark/>
          </w:tcPr>
          <w:p w14:paraId="749C90AD"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259061</w:t>
            </w:r>
          </w:p>
        </w:tc>
        <w:tc>
          <w:tcPr>
            <w:tcW w:w="450" w:type="pct"/>
            <w:shd w:val="clear" w:color="auto" w:fill="auto"/>
            <w:noWrap/>
            <w:vAlign w:val="center"/>
            <w:hideMark/>
          </w:tcPr>
          <w:p w14:paraId="3567218D"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100,00%</w:t>
            </w:r>
          </w:p>
        </w:tc>
        <w:tc>
          <w:tcPr>
            <w:tcW w:w="867" w:type="pct"/>
            <w:shd w:val="clear" w:color="auto" w:fill="auto"/>
            <w:noWrap/>
            <w:vAlign w:val="center"/>
            <w:hideMark/>
          </w:tcPr>
          <w:p w14:paraId="507EFCDB" w14:textId="77777777" w:rsidR="007D4D24" w:rsidRPr="00AF79C9" w:rsidRDefault="007D4D24">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2,65%</w:t>
            </w:r>
          </w:p>
        </w:tc>
      </w:tr>
    </w:tbl>
    <w:p w14:paraId="7DCCAD42" w14:textId="218B2B9C" w:rsidR="00DF51D1" w:rsidRPr="00AF79C9" w:rsidRDefault="00BA7133" w:rsidP="00DF51D1">
      <w:pPr>
        <w:rPr>
          <w:rFonts w:ascii="Bookman Old Style" w:hAnsi="Bookman Old Style"/>
          <w:sz w:val="20"/>
          <w:szCs w:val="20"/>
          <w:lang w:val="uk-UA"/>
        </w:rPr>
      </w:pPr>
      <w:r>
        <w:rPr>
          <w:rFonts w:ascii="Bookman Old Style" w:hAnsi="Bookman Old Style"/>
          <w:i/>
          <w:sz w:val="20"/>
          <w:szCs w:val="20"/>
          <w:lang w:val="en-US"/>
        </w:rPr>
        <w:t>Source</w:t>
      </w:r>
      <w:r w:rsidRPr="00FD48A7">
        <w:rPr>
          <w:rFonts w:ascii="Bookman Old Style" w:hAnsi="Bookman Old Style"/>
          <w:sz w:val="20"/>
          <w:szCs w:val="20"/>
          <w:lang w:val="uk-UA"/>
        </w:rPr>
        <w:t xml:space="preserve">: </w:t>
      </w:r>
      <w:r>
        <w:rPr>
          <w:rFonts w:ascii="Bookman Old Style" w:hAnsi="Bookman Old Style"/>
          <w:sz w:val="20"/>
          <w:szCs w:val="20"/>
          <w:lang w:val="en-US"/>
        </w:rPr>
        <w:t>Bank</w:t>
      </w:r>
      <w:r w:rsidRPr="00E6612A">
        <w:rPr>
          <w:rFonts w:ascii="Bookman Old Style" w:hAnsi="Bookman Old Style"/>
          <w:sz w:val="20"/>
          <w:szCs w:val="20"/>
          <w:lang w:val="uk-UA"/>
        </w:rPr>
        <w:t>’</w:t>
      </w:r>
      <w:r>
        <w:rPr>
          <w:rFonts w:ascii="Bookman Old Style" w:hAnsi="Bookman Old Style"/>
          <w:sz w:val="20"/>
          <w:szCs w:val="20"/>
          <w:lang w:val="en-US"/>
        </w:rPr>
        <w:t>s</w:t>
      </w:r>
      <w:r w:rsidRPr="00E6612A">
        <w:rPr>
          <w:rFonts w:ascii="Bookman Old Style" w:hAnsi="Bookman Old Style"/>
          <w:sz w:val="20"/>
          <w:szCs w:val="20"/>
          <w:lang w:val="uk-UA"/>
        </w:rPr>
        <w:t xml:space="preserve"> </w:t>
      </w:r>
      <w:r>
        <w:rPr>
          <w:rFonts w:ascii="Bookman Old Style" w:hAnsi="Bookman Old Style"/>
          <w:sz w:val="20"/>
          <w:szCs w:val="20"/>
          <w:lang w:val="en-US"/>
        </w:rPr>
        <w:t>statements</w:t>
      </w:r>
      <w:r w:rsidRPr="00E6612A">
        <w:rPr>
          <w:rFonts w:ascii="Bookman Old Style" w:hAnsi="Bookman Old Style"/>
          <w:sz w:val="20"/>
          <w:szCs w:val="20"/>
          <w:lang w:val="uk-UA"/>
        </w:rPr>
        <w:t xml:space="preserve"> </w:t>
      </w:r>
      <w:r>
        <w:rPr>
          <w:rFonts w:ascii="Bookman Old Style" w:hAnsi="Bookman Old Style"/>
          <w:sz w:val="20"/>
          <w:szCs w:val="20"/>
          <w:lang w:val="en-US"/>
        </w:rPr>
        <w:t>according</w:t>
      </w:r>
      <w:r w:rsidRPr="00E6612A">
        <w:rPr>
          <w:rFonts w:ascii="Bookman Old Style" w:hAnsi="Bookman Old Style"/>
          <w:sz w:val="20"/>
          <w:szCs w:val="20"/>
          <w:lang w:val="uk-UA"/>
        </w:rPr>
        <w:t xml:space="preserve"> </w:t>
      </w:r>
      <w:r>
        <w:rPr>
          <w:rFonts w:ascii="Bookman Old Style" w:hAnsi="Bookman Old Style"/>
          <w:sz w:val="20"/>
          <w:szCs w:val="20"/>
          <w:lang w:val="en-US"/>
        </w:rPr>
        <w:t>to</w:t>
      </w:r>
      <w:r w:rsidRPr="00E6612A">
        <w:rPr>
          <w:rFonts w:ascii="Bookman Old Style" w:hAnsi="Bookman Old Style"/>
          <w:sz w:val="20"/>
          <w:szCs w:val="20"/>
          <w:lang w:val="uk-UA"/>
        </w:rPr>
        <w:t xml:space="preserve"> </w:t>
      </w:r>
      <w:r>
        <w:rPr>
          <w:rFonts w:ascii="Bookman Old Style" w:hAnsi="Bookman Old Style"/>
          <w:sz w:val="20"/>
          <w:szCs w:val="20"/>
          <w:lang w:val="en-US"/>
        </w:rPr>
        <w:t>NBU</w:t>
      </w:r>
      <w:r w:rsidRPr="00E6612A">
        <w:rPr>
          <w:rFonts w:ascii="Bookman Old Style" w:hAnsi="Bookman Old Style"/>
          <w:sz w:val="20"/>
          <w:szCs w:val="20"/>
          <w:lang w:val="uk-UA"/>
        </w:rPr>
        <w:t xml:space="preserve"> </w:t>
      </w:r>
      <w:r>
        <w:rPr>
          <w:rFonts w:ascii="Bookman Old Style" w:hAnsi="Bookman Old Style"/>
          <w:sz w:val="20"/>
          <w:szCs w:val="20"/>
          <w:lang w:val="en-US"/>
        </w:rPr>
        <w:t>data</w:t>
      </w:r>
      <w:r w:rsidRPr="00AF79C9">
        <w:rPr>
          <w:rFonts w:ascii="Bookman Old Style" w:hAnsi="Bookman Old Style"/>
          <w:sz w:val="20"/>
          <w:szCs w:val="20"/>
          <w:lang w:val="uk-UA"/>
        </w:rPr>
        <w:t xml:space="preserve"> </w:t>
      </w:r>
    </w:p>
    <w:p w14:paraId="301FA85A" w14:textId="77777777" w:rsidR="005D6C31" w:rsidRPr="00AF79C9" w:rsidRDefault="005D6C31" w:rsidP="00FD48A7">
      <w:pPr>
        <w:rPr>
          <w:rFonts w:ascii="Bookman Old Style" w:hAnsi="Bookman Old Style"/>
          <w:sz w:val="20"/>
          <w:szCs w:val="20"/>
          <w:lang w:val="uk-UA"/>
        </w:rPr>
      </w:pPr>
    </w:p>
    <w:p w14:paraId="498A4369" w14:textId="5C5EFFFB" w:rsidR="00565BCA" w:rsidRPr="00AF79C9" w:rsidRDefault="00F40ED2" w:rsidP="00F40ED2">
      <w:pPr>
        <w:ind w:firstLine="708"/>
        <w:jc w:val="both"/>
        <w:rPr>
          <w:rFonts w:ascii="Bookman Old Style" w:hAnsi="Bookman Old Style"/>
          <w:sz w:val="20"/>
          <w:szCs w:val="20"/>
          <w:lang w:val="uk-UA"/>
        </w:rPr>
      </w:pPr>
      <w:r w:rsidRPr="00AF79C9">
        <w:rPr>
          <w:rFonts w:ascii="Bookman Old Style" w:hAnsi="Bookman Old Style"/>
          <w:sz w:val="20"/>
          <w:szCs w:val="20"/>
          <w:lang w:val="uk-UA"/>
        </w:rPr>
        <w:t xml:space="preserve">2. </w:t>
      </w:r>
      <w:r w:rsidR="004550D5">
        <w:rPr>
          <w:rFonts w:ascii="Bookman Old Style" w:hAnsi="Bookman Old Style"/>
          <w:sz w:val="20"/>
          <w:szCs w:val="20"/>
          <w:lang w:val="en-US"/>
        </w:rPr>
        <w:t>Customer credits and debt of the Bank, excluding reserves for the</w:t>
      </w:r>
      <w:r w:rsidR="004550D5">
        <w:rPr>
          <w:rFonts w:ascii="Bookman Old Style" w:hAnsi="Bookman Old Style"/>
          <w:sz w:val="20"/>
          <w:szCs w:val="20"/>
          <w:lang w:val="en-US"/>
        </w:rPr>
        <w:t xml:space="preserve"> first half of 2018</w:t>
      </w:r>
      <w:r w:rsidR="004550D5">
        <w:rPr>
          <w:rFonts w:ascii="Bookman Old Style" w:hAnsi="Bookman Old Style"/>
          <w:sz w:val="20"/>
          <w:szCs w:val="20"/>
          <w:lang w:val="en-US"/>
        </w:rPr>
        <w:t xml:space="preserve">, have </w:t>
      </w:r>
      <w:r w:rsidR="004550D5">
        <w:rPr>
          <w:rFonts w:ascii="Bookman Old Style" w:hAnsi="Bookman Old Style"/>
          <w:sz w:val="20"/>
          <w:szCs w:val="20"/>
          <w:lang w:val="en-US"/>
        </w:rPr>
        <w:t>grown</w:t>
      </w:r>
      <w:r w:rsidR="004550D5">
        <w:rPr>
          <w:rFonts w:ascii="Bookman Old Style" w:hAnsi="Bookman Old Style"/>
          <w:sz w:val="20"/>
          <w:szCs w:val="20"/>
          <w:lang w:val="en-US"/>
        </w:rPr>
        <w:t xml:space="preserve"> by </w:t>
      </w:r>
      <w:r w:rsidR="004550D5" w:rsidRPr="00AF79C9">
        <w:rPr>
          <w:rFonts w:ascii="Bookman Old Style" w:hAnsi="Bookman Old Style"/>
          <w:sz w:val="20"/>
          <w:szCs w:val="20"/>
          <w:lang w:val="uk-UA"/>
        </w:rPr>
        <w:t>15</w:t>
      </w:r>
      <w:proofErr w:type="gramStart"/>
      <w:r w:rsidR="004550D5" w:rsidRPr="00AF79C9">
        <w:rPr>
          <w:rFonts w:ascii="Bookman Old Style" w:hAnsi="Bookman Old Style"/>
          <w:sz w:val="20"/>
          <w:szCs w:val="20"/>
          <w:lang w:val="uk-UA"/>
        </w:rPr>
        <w:t>,46</w:t>
      </w:r>
      <w:proofErr w:type="gramEnd"/>
      <w:r w:rsidR="004550D5">
        <w:rPr>
          <w:rFonts w:ascii="Bookman Old Style" w:hAnsi="Bookman Old Style"/>
          <w:sz w:val="20"/>
          <w:szCs w:val="20"/>
          <w:lang w:val="en-US"/>
        </w:rPr>
        <w:t>% up</w:t>
      </w:r>
      <w:r w:rsidR="004550D5">
        <w:rPr>
          <w:rFonts w:ascii="Bookman Old Style" w:hAnsi="Bookman Old Style"/>
          <w:sz w:val="20"/>
          <w:szCs w:val="20"/>
          <w:lang w:val="en-US"/>
        </w:rPr>
        <w:t xml:space="preserve"> to UAH </w:t>
      </w:r>
      <w:r w:rsidR="004550D5" w:rsidRPr="00AF79C9">
        <w:rPr>
          <w:rFonts w:ascii="Bookman Old Style" w:hAnsi="Bookman Old Style"/>
          <w:sz w:val="20"/>
          <w:szCs w:val="20"/>
          <w:lang w:val="uk-UA"/>
        </w:rPr>
        <w:t>44,011</w:t>
      </w:r>
      <w:r w:rsidR="004550D5">
        <w:rPr>
          <w:rFonts w:ascii="Bookman Old Style" w:hAnsi="Bookman Old Style"/>
          <w:sz w:val="20"/>
          <w:szCs w:val="20"/>
          <w:lang w:val="en-US"/>
        </w:rPr>
        <w:t xml:space="preserve"> bn.</w:t>
      </w:r>
    </w:p>
    <w:p w14:paraId="5848EE42" w14:textId="20882001" w:rsidR="00BA3F31" w:rsidRPr="00AF79C9" w:rsidRDefault="00D12735" w:rsidP="00F40ED2">
      <w:pPr>
        <w:ind w:firstLine="708"/>
        <w:jc w:val="both"/>
        <w:rPr>
          <w:rFonts w:ascii="Bookman Old Style" w:hAnsi="Bookman Old Style"/>
          <w:sz w:val="20"/>
          <w:szCs w:val="20"/>
          <w:lang w:val="uk-UA"/>
        </w:rPr>
      </w:pPr>
      <w:r>
        <w:rPr>
          <w:rFonts w:ascii="Bookman Old Style" w:hAnsi="Bookman Old Style"/>
          <w:sz w:val="20"/>
          <w:szCs w:val="20"/>
          <w:lang w:val="en-US"/>
        </w:rPr>
        <w:t xml:space="preserve">On </w:t>
      </w:r>
      <w:r w:rsidRPr="00AF79C9">
        <w:rPr>
          <w:rFonts w:ascii="Bookman Old Style" w:hAnsi="Bookman Old Style"/>
          <w:sz w:val="20"/>
          <w:szCs w:val="20"/>
          <w:lang w:val="uk-UA"/>
        </w:rPr>
        <w:t>01.07.2018</w:t>
      </w:r>
      <w:r w:rsidR="00EA677B">
        <w:rPr>
          <w:rFonts w:ascii="Bookman Old Style" w:hAnsi="Bookman Old Style"/>
          <w:sz w:val="20"/>
          <w:szCs w:val="20"/>
          <w:lang w:val="en-US"/>
        </w:rPr>
        <w:t xml:space="preserve">, according to NBU data, the Bank’s BISL portfolio has amounted to UAH </w:t>
      </w:r>
      <w:r w:rsidR="00EA677B" w:rsidRPr="00AF79C9">
        <w:rPr>
          <w:rFonts w:ascii="Bookman Old Style" w:hAnsi="Bookman Old Style"/>
          <w:sz w:val="20"/>
          <w:szCs w:val="20"/>
          <w:lang w:val="uk-UA"/>
        </w:rPr>
        <w:t xml:space="preserve">148,049 </w:t>
      </w:r>
      <w:proofErr w:type="spellStart"/>
      <w:r w:rsidR="00EA677B">
        <w:rPr>
          <w:rFonts w:ascii="Bookman Old Style" w:hAnsi="Bookman Old Style"/>
          <w:sz w:val="20"/>
          <w:szCs w:val="20"/>
          <w:lang w:val="en-US"/>
        </w:rPr>
        <w:t>bn</w:t>
      </w:r>
      <w:proofErr w:type="spellEnd"/>
      <w:r w:rsidR="00EA677B">
        <w:rPr>
          <w:rFonts w:ascii="Bookman Old Style" w:hAnsi="Bookman Old Style"/>
          <w:sz w:val="20"/>
          <w:szCs w:val="20"/>
          <w:lang w:val="en-US"/>
        </w:rPr>
        <w:t xml:space="preserve"> that is 55</w:t>
      </w:r>
      <w:proofErr w:type="gramStart"/>
      <w:r w:rsidR="00EA677B">
        <w:rPr>
          <w:rFonts w:ascii="Bookman Old Style" w:hAnsi="Bookman Old Style"/>
          <w:sz w:val="20"/>
          <w:szCs w:val="20"/>
          <w:lang w:val="en-US"/>
        </w:rPr>
        <w:t>,67</w:t>
      </w:r>
      <w:proofErr w:type="gramEnd"/>
      <w:r w:rsidR="00EA677B">
        <w:rPr>
          <w:rFonts w:ascii="Bookman Old Style" w:hAnsi="Bookman Old Style"/>
          <w:sz w:val="20"/>
          <w:szCs w:val="20"/>
          <w:lang w:val="en-US"/>
        </w:rPr>
        <w:t xml:space="preserve">% of the Bank’s net assets. In Ukraine the BISL, as state securities, are identified </w:t>
      </w:r>
      <w:r w:rsidR="008A2810">
        <w:rPr>
          <w:rFonts w:ascii="Bookman Old Style" w:hAnsi="Bookman Old Style"/>
          <w:sz w:val="20"/>
          <w:szCs w:val="20"/>
          <w:lang w:val="en-US"/>
        </w:rPr>
        <w:t>as</w:t>
      </w:r>
      <w:r w:rsidR="00EA677B">
        <w:rPr>
          <w:rFonts w:ascii="Bookman Old Style" w:hAnsi="Bookman Old Style"/>
          <w:sz w:val="20"/>
          <w:szCs w:val="20"/>
          <w:lang w:val="en-US"/>
        </w:rPr>
        <w:t xml:space="preserve"> assets with the lowest risk rate.</w:t>
      </w:r>
      <w:r w:rsidRPr="00AF79C9">
        <w:rPr>
          <w:rFonts w:ascii="Bookman Old Style" w:hAnsi="Bookman Old Style"/>
          <w:sz w:val="20"/>
          <w:szCs w:val="20"/>
          <w:lang w:val="uk-UA"/>
        </w:rPr>
        <w:t xml:space="preserve"> </w:t>
      </w:r>
      <w:r>
        <w:rPr>
          <w:rFonts w:ascii="Bookman Old Style" w:hAnsi="Bookman Old Style"/>
          <w:sz w:val="20"/>
          <w:szCs w:val="20"/>
          <w:lang w:val="en-US"/>
        </w:rPr>
        <w:t xml:space="preserve">Thus, even with the availability of the loan portfolio of bad quality, in general the Bank’s asset quality can be considered as quite suitable </w:t>
      </w:r>
      <w:r w:rsidRPr="00DE3468">
        <w:rPr>
          <w:rFonts w:ascii="Bookman Old Style" w:hAnsi="Bookman Old Style"/>
          <w:sz w:val="20"/>
          <w:szCs w:val="20"/>
          <w:lang w:val="en-US"/>
        </w:rPr>
        <w:t>to ensure its continu</w:t>
      </w:r>
      <w:r>
        <w:rPr>
          <w:rFonts w:ascii="Bookman Old Style" w:hAnsi="Bookman Old Style"/>
          <w:sz w:val="20"/>
          <w:szCs w:val="20"/>
          <w:lang w:val="en-US"/>
        </w:rPr>
        <w:t>ous</w:t>
      </w:r>
      <w:r w:rsidRPr="00DE3468">
        <w:rPr>
          <w:rFonts w:ascii="Bookman Old Style" w:hAnsi="Bookman Old Style"/>
          <w:sz w:val="20"/>
          <w:szCs w:val="20"/>
          <w:lang w:val="en-US"/>
        </w:rPr>
        <w:t xml:space="preserve"> operation and customer demand for liquidity</w:t>
      </w:r>
      <w:r>
        <w:rPr>
          <w:rFonts w:ascii="Bookman Old Style" w:hAnsi="Bookman Old Style"/>
          <w:sz w:val="20"/>
          <w:szCs w:val="20"/>
          <w:lang w:val="en-US"/>
        </w:rPr>
        <w:t>.</w:t>
      </w:r>
      <w:r>
        <w:rPr>
          <w:rFonts w:ascii="Bookman Old Style" w:hAnsi="Bookman Old Style"/>
          <w:sz w:val="20"/>
          <w:szCs w:val="20"/>
          <w:lang w:val="en-US"/>
        </w:rPr>
        <w:t xml:space="preserve"> </w:t>
      </w:r>
    </w:p>
    <w:p w14:paraId="00E92F06" w14:textId="77777777" w:rsidR="00AB5FDC" w:rsidRPr="00AF79C9" w:rsidRDefault="00AB5FDC" w:rsidP="00F40ED2">
      <w:pPr>
        <w:ind w:firstLine="708"/>
        <w:jc w:val="both"/>
        <w:rPr>
          <w:rFonts w:ascii="Bookman Old Style" w:hAnsi="Bookman Old Style"/>
          <w:sz w:val="20"/>
          <w:szCs w:val="20"/>
          <w:lang w:val="uk-UA"/>
        </w:rPr>
      </w:pPr>
    </w:p>
    <w:p w14:paraId="0CBDB2E1" w14:textId="2B2391F6" w:rsidR="007765AC" w:rsidRPr="00AF79C9" w:rsidRDefault="00431E42" w:rsidP="00BA3F31">
      <w:pPr>
        <w:ind w:firstLine="708"/>
        <w:jc w:val="both"/>
        <w:rPr>
          <w:rFonts w:ascii="Bookman Old Style" w:hAnsi="Bookman Old Style"/>
          <w:sz w:val="20"/>
          <w:szCs w:val="20"/>
          <w:lang w:val="uk-UA"/>
        </w:rPr>
      </w:pPr>
      <w:r w:rsidRPr="00AF79C9">
        <w:rPr>
          <w:rFonts w:ascii="Bookman Old Style" w:hAnsi="Bookman Old Style"/>
          <w:sz w:val="20"/>
          <w:szCs w:val="20"/>
          <w:lang w:val="uk-UA"/>
        </w:rPr>
        <w:t xml:space="preserve">3. </w:t>
      </w:r>
      <w:r w:rsidR="00530A1D">
        <w:rPr>
          <w:rFonts w:ascii="Bookman Old Style" w:hAnsi="Bookman Old Style"/>
          <w:sz w:val="20"/>
          <w:szCs w:val="20"/>
          <w:lang w:val="en-US"/>
        </w:rPr>
        <w:t>The Agency reminds that</w:t>
      </w:r>
      <w:r w:rsidR="00530A1D">
        <w:rPr>
          <w:rFonts w:ascii="Bookman Old Style" w:hAnsi="Bookman Old Style"/>
          <w:sz w:val="20"/>
          <w:szCs w:val="20"/>
          <w:lang w:val="en-US"/>
        </w:rPr>
        <w:t xml:space="preserve"> d</w:t>
      </w:r>
      <w:r w:rsidR="00530A1D">
        <w:rPr>
          <w:rFonts w:ascii="Bookman Old Style" w:hAnsi="Bookman Old Style"/>
          <w:sz w:val="20"/>
          <w:szCs w:val="20"/>
          <w:lang w:val="en-US"/>
        </w:rPr>
        <w:t>ebt of PJSC</w:t>
      </w:r>
      <w:r w:rsidR="00530A1D" w:rsidRPr="005D36D5">
        <w:rPr>
          <w:rFonts w:ascii="Bookman Old Style" w:hAnsi="Bookman Old Style"/>
          <w:sz w:val="20"/>
          <w:szCs w:val="20"/>
          <w:lang w:val="uk-UA"/>
        </w:rPr>
        <w:t xml:space="preserve"> “</w:t>
      </w:r>
      <w:r w:rsidR="00530A1D">
        <w:rPr>
          <w:rFonts w:ascii="Bookman Old Style" w:hAnsi="Bookman Old Style"/>
          <w:sz w:val="20"/>
          <w:szCs w:val="20"/>
          <w:lang w:val="en-US"/>
        </w:rPr>
        <w:t>CB</w:t>
      </w:r>
      <w:r w:rsidR="00530A1D" w:rsidRPr="005D36D5">
        <w:rPr>
          <w:rFonts w:ascii="Bookman Old Style" w:hAnsi="Bookman Old Style"/>
          <w:sz w:val="20"/>
          <w:szCs w:val="20"/>
          <w:lang w:val="uk-UA"/>
        </w:rPr>
        <w:t xml:space="preserve"> “</w:t>
      </w:r>
      <w:r w:rsidR="00530A1D">
        <w:rPr>
          <w:rFonts w:ascii="Bookman Old Style" w:hAnsi="Bookman Old Style"/>
          <w:sz w:val="20"/>
          <w:szCs w:val="20"/>
          <w:lang w:val="en-US"/>
        </w:rPr>
        <w:t>PRIVATBANK</w:t>
      </w:r>
      <w:r w:rsidR="00530A1D" w:rsidRPr="005D36D5">
        <w:rPr>
          <w:rFonts w:ascii="Bookman Old Style" w:hAnsi="Bookman Old Style"/>
          <w:sz w:val="20"/>
          <w:szCs w:val="20"/>
          <w:lang w:val="uk-UA"/>
        </w:rPr>
        <w:t xml:space="preserve">” </w:t>
      </w:r>
      <w:r w:rsidR="00530A1D">
        <w:rPr>
          <w:rFonts w:ascii="Bookman Old Style" w:hAnsi="Bookman Old Style"/>
          <w:sz w:val="20"/>
          <w:szCs w:val="20"/>
          <w:lang w:val="en-US"/>
        </w:rPr>
        <w:t xml:space="preserve">to NBU </w:t>
      </w:r>
      <w:r w:rsidR="007E3929">
        <w:rPr>
          <w:rFonts w:ascii="Bookman Old Style" w:hAnsi="Bookman Old Style"/>
          <w:sz w:val="20"/>
          <w:szCs w:val="20"/>
          <w:lang w:val="en-US"/>
        </w:rPr>
        <w:t>according to the results</w:t>
      </w:r>
      <w:r w:rsidR="00530A1D">
        <w:rPr>
          <w:rFonts w:ascii="Bookman Old Style" w:hAnsi="Bookman Old Style"/>
          <w:sz w:val="20"/>
          <w:szCs w:val="20"/>
          <w:lang w:val="en-US"/>
        </w:rPr>
        <w:t xml:space="preserve"> of 2017 has </w:t>
      </w:r>
      <w:r w:rsidR="007E3929">
        <w:rPr>
          <w:rFonts w:ascii="Bookman Old Style" w:hAnsi="Bookman Old Style"/>
          <w:sz w:val="20"/>
          <w:szCs w:val="20"/>
          <w:lang w:val="en-US"/>
        </w:rPr>
        <w:t>reduced</w:t>
      </w:r>
      <w:r w:rsidR="00530A1D">
        <w:rPr>
          <w:rFonts w:ascii="Bookman Old Style" w:hAnsi="Bookman Old Style"/>
          <w:sz w:val="20"/>
          <w:szCs w:val="20"/>
          <w:lang w:val="en-US"/>
        </w:rPr>
        <w:t xml:space="preserve"> by</w:t>
      </w:r>
      <w:r w:rsidR="007E3929">
        <w:rPr>
          <w:rFonts w:ascii="Bookman Old Style" w:hAnsi="Bookman Old Style"/>
          <w:sz w:val="20"/>
          <w:szCs w:val="20"/>
          <w:lang w:val="en-US"/>
        </w:rPr>
        <w:t xml:space="preserve"> 31</w:t>
      </w:r>
      <w:proofErr w:type="gramStart"/>
      <w:r w:rsidR="007E3929">
        <w:rPr>
          <w:rFonts w:ascii="Bookman Old Style" w:hAnsi="Bookman Old Style"/>
          <w:sz w:val="20"/>
          <w:szCs w:val="20"/>
          <w:lang w:val="en-US"/>
        </w:rPr>
        <w:t>,32</w:t>
      </w:r>
      <w:proofErr w:type="gramEnd"/>
      <w:r w:rsidR="007E3929">
        <w:rPr>
          <w:rFonts w:ascii="Bookman Old Style" w:hAnsi="Bookman Old Style"/>
          <w:sz w:val="20"/>
          <w:szCs w:val="20"/>
          <w:lang w:val="en-US"/>
        </w:rPr>
        <w:t xml:space="preserve">%: from UAH </w:t>
      </w:r>
      <w:r w:rsidR="007E3929" w:rsidRPr="00AF79C9">
        <w:rPr>
          <w:rFonts w:ascii="Bookman Old Style" w:hAnsi="Bookman Old Style"/>
          <w:sz w:val="20"/>
          <w:szCs w:val="20"/>
          <w:lang w:val="uk-UA"/>
        </w:rPr>
        <w:t xml:space="preserve">18,047 </w:t>
      </w:r>
      <w:proofErr w:type="spellStart"/>
      <w:r w:rsidR="007E3929">
        <w:rPr>
          <w:rFonts w:ascii="Bookman Old Style" w:hAnsi="Bookman Old Style"/>
          <w:sz w:val="20"/>
          <w:szCs w:val="20"/>
          <w:lang w:val="en-US"/>
        </w:rPr>
        <w:t>bn</w:t>
      </w:r>
      <w:proofErr w:type="spellEnd"/>
      <w:r w:rsidR="007E3929" w:rsidRPr="00AF79C9">
        <w:rPr>
          <w:rFonts w:ascii="Bookman Old Style" w:hAnsi="Bookman Old Style"/>
          <w:sz w:val="20"/>
          <w:szCs w:val="20"/>
          <w:lang w:val="uk-UA"/>
        </w:rPr>
        <w:t xml:space="preserve">. </w:t>
      </w:r>
      <w:r w:rsidR="007E3929">
        <w:rPr>
          <w:rFonts w:ascii="Bookman Old Style" w:hAnsi="Bookman Old Style"/>
          <w:sz w:val="20"/>
          <w:szCs w:val="20"/>
          <w:lang w:val="en-US"/>
        </w:rPr>
        <w:t>down to UAH</w:t>
      </w:r>
      <w:r w:rsidR="007E3929" w:rsidRPr="00AF79C9">
        <w:rPr>
          <w:rFonts w:ascii="Bookman Old Style" w:hAnsi="Bookman Old Style"/>
          <w:sz w:val="20"/>
          <w:szCs w:val="20"/>
          <w:lang w:val="uk-UA"/>
        </w:rPr>
        <w:t xml:space="preserve"> 12,394 </w:t>
      </w:r>
      <w:r w:rsidR="007E3929">
        <w:rPr>
          <w:rFonts w:ascii="Bookman Old Style" w:hAnsi="Bookman Old Style"/>
          <w:sz w:val="20"/>
          <w:szCs w:val="20"/>
          <w:lang w:val="en-US"/>
        </w:rPr>
        <w:t>bn. In the first quarter of 2018 the Bank’s debt to NBU has increased by 5</w:t>
      </w:r>
      <w:proofErr w:type="gramStart"/>
      <w:r w:rsidR="007E3929">
        <w:rPr>
          <w:rFonts w:ascii="Bookman Old Style" w:hAnsi="Bookman Old Style"/>
          <w:sz w:val="20"/>
          <w:szCs w:val="20"/>
          <w:lang w:val="en-US"/>
        </w:rPr>
        <w:t>,87</w:t>
      </w:r>
      <w:proofErr w:type="gramEnd"/>
      <w:r w:rsidR="007E3929">
        <w:rPr>
          <w:rFonts w:ascii="Bookman Old Style" w:hAnsi="Bookman Old Style"/>
          <w:sz w:val="20"/>
          <w:szCs w:val="20"/>
          <w:lang w:val="en-US"/>
        </w:rPr>
        <w:t xml:space="preserve">%. As of </w:t>
      </w:r>
      <w:r w:rsidR="007E3929" w:rsidRPr="00AF79C9">
        <w:rPr>
          <w:rFonts w:ascii="Bookman Old Style" w:hAnsi="Bookman Old Style"/>
          <w:sz w:val="20"/>
          <w:szCs w:val="20"/>
          <w:lang w:val="uk-UA"/>
        </w:rPr>
        <w:t>01.07.2018</w:t>
      </w:r>
      <w:r w:rsidR="007E3929">
        <w:rPr>
          <w:rFonts w:ascii="Bookman Old Style" w:hAnsi="Bookman Old Style"/>
          <w:sz w:val="20"/>
          <w:szCs w:val="20"/>
          <w:lang w:val="en-US"/>
        </w:rPr>
        <w:t xml:space="preserve"> compared to the beginning of 2018 the Bank’s debt to NBU has reduced by 20,96% down to UAH 9,796 bn.</w:t>
      </w:r>
      <w:r w:rsidR="00530A1D">
        <w:rPr>
          <w:rFonts w:ascii="Bookman Old Style" w:hAnsi="Bookman Old Style"/>
          <w:sz w:val="20"/>
          <w:szCs w:val="20"/>
          <w:lang w:val="en-US"/>
        </w:rPr>
        <w:t xml:space="preserve"> In the </w:t>
      </w:r>
      <w:r w:rsidR="00530A1D">
        <w:rPr>
          <w:rFonts w:ascii="Bookman Old Style" w:hAnsi="Bookman Old Style"/>
          <w:sz w:val="20"/>
          <w:szCs w:val="20"/>
          <w:lang w:val="en-US"/>
        </w:rPr>
        <w:lastRenderedPageBreak/>
        <w:t>Agency’s opinion,</w:t>
      </w:r>
      <w:r w:rsidR="00B94BF6">
        <w:rPr>
          <w:rFonts w:ascii="Bookman Old Style" w:hAnsi="Bookman Old Style"/>
          <w:sz w:val="20"/>
          <w:szCs w:val="20"/>
          <w:lang w:val="en-US"/>
        </w:rPr>
        <w:t xml:space="preserve"> fluctuations of the Bank’s debt to NBU </w:t>
      </w:r>
      <w:r w:rsidR="00CE1C4F">
        <w:rPr>
          <w:rFonts w:ascii="Bookman Old Style" w:hAnsi="Bookman Old Style"/>
          <w:sz w:val="20"/>
          <w:szCs w:val="20"/>
          <w:lang w:val="en-US"/>
        </w:rPr>
        <w:t>are of natural character. The Bank has had sufficient liquidity to pay debt, and the need of its support was of technical character.</w:t>
      </w:r>
      <w:r w:rsidR="00530A1D">
        <w:rPr>
          <w:rFonts w:ascii="Bookman Old Style" w:hAnsi="Bookman Old Style"/>
          <w:sz w:val="20"/>
          <w:szCs w:val="20"/>
          <w:lang w:val="en-US"/>
        </w:rPr>
        <w:t xml:space="preserve"> </w:t>
      </w:r>
    </w:p>
    <w:p w14:paraId="64840FF8" w14:textId="77777777" w:rsidR="00B57D56" w:rsidRPr="00AF79C9" w:rsidRDefault="003D1FFD" w:rsidP="00222208">
      <w:pPr>
        <w:jc w:val="both"/>
        <w:rPr>
          <w:rFonts w:ascii="Bookman Old Style" w:hAnsi="Bookman Old Style"/>
          <w:b/>
          <w:sz w:val="20"/>
          <w:szCs w:val="20"/>
          <w:lang w:val="uk-UA"/>
        </w:rPr>
      </w:pPr>
      <w:r w:rsidRPr="00AF79C9">
        <w:rPr>
          <w:rFonts w:ascii="Bookman Old Style" w:hAnsi="Bookman Old Style"/>
          <w:b/>
          <w:sz w:val="20"/>
          <w:szCs w:val="20"/>
          <w:lang w:val="uk-UA"/>
        </w:rPr>
        <w:tab/>
      </w:r>
    </w:p>
    <w:p w14:paraId="39658535" w14:textId="53D4353A" w:rsidR="003D1FFD" w:rsidRPr="00AF79C9" w:rsidRDefault="00B57D56" w:rsidP="00222208">
      <w:pPr>
        <w:jc w:val="both"/>
        <w:rPr>
          <w:rFonts w:ascii="Bookman Old Style" w:hAnsi="Bookman Old Style"/>
          <w:b/>
          <w:sz w:val="20"/>
          <w:szCs w:val="20"/>
          <w:lang w:val="uk-UA"/>
        </w:rPr>
      </w:pPr>
      <w:r w:rsidRPr="00AF79C9">
        <w:rPr>
          <w:rFonts w:ascii="Bookman Old Style" w:hAnsi="Bookman Old Style"/>
          <w:b/>
          <w:sz w:val="20"/>
          <w:szCs w:val="20"/>
          <w:lang w:val="uk-UA"/>
        </w:rPr>
        <w:tab/>
      </w:r>
      <w:r w:rsidR="00CC7B9A">
        <w:rPr>
          <w:rFonts w:ascii="Bookman Old Style" w:hAnsi="Bookman Old Style"/>
          <w:b/>
          <w:sz w:val="20"/>
          <w:szCs w:val="20"/>
          <w:lang w:val="en-US"/>
        </w:rPr>
        <w:t>Normative</w:t>
      </w:r>
      <w:r w:rsidR="00CC7B9A" w:rsidRPr="00B10785">
        <w:rPr>
          <w:rFonts w:ascii="Bookman Old Style" w:hAnsi="Bookman Old Style"/>
          <w:b/>
          <w:sz w:val="20"/>
          <w:szCs w:val="20"/>
          <w:lang w:val="uk-UA"/>
        </w:rPr>
        <w:t xml:space="preserve"> </w:t>
      </w:r>
      <w:r w:rsidR="00CC7B9A">
        <w:rPr>
          <w:rFonts w:ascii="Bookman Old Style" w:hAnsi="Bookman Old Style"/>
          <w:b/>
          <w:sz w:val="20"/>
          <w:szCs w:val="20"/>
          <w:lang w:val="en-US"/>
        </w:rPr>
        <w:t>indicators</w:t>
      </w:r>
    </w:p>
    <w:p w14:paraId="06B417D3" w14:textId="7CFC3F10" w:rsidR="008B7A06" w:rsidRPr="00AF79C9" w:rsidRDefault="003D1FFD" w:rsidP="00222208">
      <w:pPr>
        <w:jc w:val="both"/>
        <w:rPr>
          <w:rFonts w:ascii="Bookman Old Style" w:hAnsi="Bookman Old Style"/>
          <w:sz w:val="20"/>
          <w:szCs w:val="20"/>
          <w:lang w:val="uk-UA"/>
        </w:rPr>
      </w:pPr>
      <w:r w:rsidRPr="00AF79C9">
        <w:rPr>
          <w:rFonts w:ascii="Bookman Old Style" w:hAnsi="Bookman Old Style"/>
          <w:sz w:val="20"/>
          <w:szCs w:val="20"/>
          <w:lang w:val="uk-UA"/>
        </w:rPr>
        <w:tab/>
      </w:r>
      <w:r w:rsidR="00AB0BC8">
        <w:rPr>
          <w:rFonts w:ascii="Bookman Old Style" w:hAnsi="Bookman Old Style"/>
          <w:sz w:val="20"/>
          <w:szCs w:val="20"/>
          <w:lang w:val="en-US"/>
        </w:rPr>
        <w:t>Regulatory</w:t>
      </w:r>
      <w:r w:rsidR="00AB0BC8" w:rsidRPr="00B10785">
        <w:rPr>
          <w:rFonts w:ascii="Bookman Old Style" w:hAnsi="Bookman Old Style"/>
          <w:sz w:val="20"/>
          <w:szCs w:val="20"/>
          <w:lang w:val="uk-UA"/>
        </w:rPr>
        <w:t xml:space="preserve"> </w:t>
      </w:r>
      <w:r w:rsidR="00AB0BC8">
        <w:rPr>
          <w:rFonts w:ascii="Bookman Old Style" w:hAnsi="Bookman Old Style"/>
          <w:sz w:val="20"/>
          <w:szCs w:val="20"/>
          <w:lang w:val="en-US"/>
        </w:rPr>
        <w:t>capital</w:t>
      </w:r>
      <w:r w:rsidR="00AB0BC8" w:rsidRPr="00B10785">
        <w:rPr>
          <w:rFonts w:ascii="Bookman Old Style" w:hAnsi="Bookman Old Style"/>
          <w:sz w:val="20"/>
          <w:szCs w:val="20"/>
          <w:lang w:val="uk-UA"/>
        </w:rPr>
        <w:t xml:space="preserve"> </w:t>
      </w:r>
      <w:r w:rsidR="00AB0BC8">
        <w:rPr>
          <w:rFonts w:ascii="Bookman Old Style" w:hAnsi="Bookman Old Style"/>
          <w:sz w:val="20"/>
          <w:szCs w:val="20"/>
          <w:lang w:val="en-US"/>
        </w:rPr>
        <w:t>normative</w:t>
      </w:r>
      <w:r w:rsidR="00AB0BC8" w:rsidRPr="00B10785">
        <w:rPr>
          <w:rFonts w:ascii="Bookman Old Style" w:hAnsi="Bookman Old Style"/>
          <w:sz w:val="20"/>
          <w:szCs w:val="20"/>
          <w:lang w:val="uk-UA"/>
        </w:rPr>
        <w:t xml:space="preserve"> </w:t>
      </w:r>
      <w:r w:rsidR="00AB0BC8">
        <w:rPr>
          <w:rFonts w:ascii="Bookman Old Style" w:hAnsi="Bookman Old Style"/>
          <w:sz w:val="20"/>
          <w:szCs w:val="20"/>
          <w:lang w:val="en-US"/>
        </w:rPr>
        <w:t>of</w:t>
      </w:r>
      <w:r w:rsidR="00AB0BC8" w:rsidRPr="00B10785">
        <w:rPr>
          <w:rFonts w:ascii="Bookman Old Style" w:hAnsi="Bookman Old Style"/>
          <w:sz w:val="20"/>
          <w:szCs w:val="20"/>
          <w:lang w:val="uk-UA"/>
        </w:rPr>
        <w:t xml:space="preserve"> </w:t>
      </w:r>
      <w:r w:rsidR="00AB0BC8">
        <w:rPr>
          <w:rFonts w:ascii="Bookman Old Style" w:hAnsi="Bookman Old Style"/>
          <w:sz w:val="20"/>
          <w:szCs w:val="20"/>
          <w:lang w:val="en-US"/>
        </w:rPr>
        <w:t>JSC</w:t>
      </w:r>
      <w:r w:rsidR="00AB0BC8" w:rsidRPr="005D36D5">
        <w:rPr>
          <w:rFonts w:ascii="Bookman Old Style" w:hAnsi="Bookman Old Style"/>
          <w:sz w:val="20"/>
          <w:szCs w:val="20"/>
          <w:lang w:val="uk-UA"/>
        </w:rPr>
        <w:t xml:space="preserve"> “</w:t>
      </w:r>
      <w:r w:rsidR="00AB0BC8">
        <w:rPr>
          <w:rFonts w:ascii="Bookman Old Style" w:hAnsi="Bookman Old Style"/>
          <w:sz w:val="20"/>
          <w:szCs w:val="20"/>
          <w:lang w:val="en-US"/>
        </w:rPr>
        <w:t>CB</w:t>
      </w:r>
      <w:r w:rsidR="00AB0BC8" w:rsidRPr="005D36D5">
        <w:rPr>
          <w:rFonts w:ascii="Bookman Old Style" w:hAnsi="Bookman Old Style"/>
          <w:sz w:val="20"/>
          <w:szCs w:val="20"/>
          <w:lang w:val="uk-UA"/>
        </w:rPr>
        <w:t xml:space="preserve"> “</w:t>
      </w:r>
      <w:r w:rsidR="00AB0BC8">
        <w:rPr>
          <w:rFonts w:ascii="Bookman Old Style" w:hAnsi="Bookman Old Style"/>
          <w:sz w:val="20"/>
          <w:szCs w:val="20"/>
          <w:lang w:val="en-US"/>
        </w:rPr>
        <w:t>PRIVATBANK</w:t>
      </w:r>
      <w:r w:rsidR="00AB0BC8" w:rsidRPr="005D36D5">
        <w:rPr>
          <w:rFonts w:ascii="Bookman Old Style" w:hAnsi="Bookman Old Style"/>
          <w:sz w:val="20"/>
          <w:szCs w:val="20"/>
          <w:lang w:val="uk-UA"/>
        </w:rPr>
        <w:t xml:space="preserve">” </w:t>
      </w:r>
      <w:r w:rsidR="00AB0BC8">
        <w:rPr>
          <w:rFonts w:ascii="Bookman Old Style" w:hAnsi="Bookman Old Style"/>
          <w:sz w:val="20"/>
          <w:szCs w:val="20"/>
          <w:lang w:val="en-US"/>
        </w:rPr>
        <w:t>as</w:t>
      </w:r>
      <w:r w:rsidR="00AB0BC8" w:rsidRPr="00B10785">
        <w:rPr>
          <w:rFonts w:ascii="Bookman Old Style" w:hAnsi="Bookman Old Style"/>
          <w:sz w:val="20"/>
          <w:szCs w:val="20"/>
          <w:lang w:val="uk-UA"/>
        </w:rPr>
        <w:t xml:space="preserve"> </w:t>
      </w:r>
      <w:r w:rsidR="00AB0BC8">
        <w:rPr>
          <w:rFonts w:ascii="Bookman Old Style" w:hAnsi="Bookman Old Style"/>
          <w:sz w:val="20"/>
          <w:szCs w:val="20"/>
          <w:lang w:val="en-US"/>
        </w:rPr>
        <w:t>of</w:t>
      </w:r>
      <w:r w:rsidR="00AB0BC8" w:rsidRPr="00B10785">
        <w:rPr>
          <w:rFonts w:ascii="Bookman Old Style" w:hAnsi="Bookman Old Style"/>
          <w:sz w:val="20"/>
          <w:szCs w:val="20"/>
          <w:lang w:val="uk-UA"/>
        </w:rPr>
        <w:t xml:space="preserve"> 0</w:t>
      </w:r>
      <w:r w:rsidR="00AB0BC8">
        <w:rPr>
          <w:rFonts w:ascii="Bookman Old Style" w:hAnsi="Bookman Old Style"/>
          <w:sz w:val="20"/>
          <w:szCs w:val="20"/>
          <w:lang w:val="en-US"/>
        </w:rPr>
        <w:t>3</w:t>
      </w:r>
      <w:r w:rsidR="00AB0BC8" w:rsidRPr="00B10785">
        <w:rPr>
          <w:rFonts w:ascii="Bookman Old Style" w:hAnsi="Bookman Old Style"/>
          <w:sz w:val="20"/>
          <w:szCs w:val="20"/>
          <w:lang w:val="uk-UA"/>
        </w:rPr>
        <w:t>.</w:t>
      </w:r>
      <w:r w:rsidR="00AB0BC8">
        <w:rPr>
          <w:rFonts w:ascii="Bookman Old Style" w:hAnsi="Bookman Old Style"/>
          <w:sz w:val="20"/>
          <w:szCs w:val="20"/>
          <w:lang w:val="en-US"/>
        </w:rPr>
        <w:t>0</w:t>
      </w:r>
      <w:r w:rsidR="00AB0BC8">
        <w:rPr>
          <w:rFonts w:ascii="Bookman Old Style" w:hAnsi="Bookman Old Style"/>
          <w:sz w:val="20"/>
          <w:szCs w:val="20"/>
          <w:lang w:val="en-US"/>
        </w:rPr>
        <w:t>9</w:t>
      </w:r>
      <w:r w:rsidR="00AB0BC8">
        <w:rPr>
          <w:rFonts w:ascii="Bookman Old Style" w:hAnsi="Bookman Old Style"/>
          <w:sz w:val="20"/>
          <w:szCs w:val="20"/>
          <w:lang w:val="en-US"/>
        </w:rPr>
        <w:t xml:space="preserve">.2018 has amounted to UAH </w:t>
      </w:r>
      <w:r w:rsidR="00AB0BC8" w:rsidRPr="00AF79C9">
        <w:rPr>
          <w:rFonts w:ascii="Bookman Old Style" w:hAnsi="Bookman Old Style"/>
          <w:sz w:val="20"/>
          <w:szCs w:val="20"/>
          <w:lang w:val="uk-UA"/>
        </w:rPr>
        <w:t>20,634</w:t>
      </w:r>
      <w:r w:rsidR="00AB0BC8">
        <w:rPr>
          <w:rFonts w:ascii="Bookman Old Style" w:hAnsi="Bookman Old Style"/>
          <w:sz w:val="20"/>
          <w:szCs w:val="20"/>
          <w:lang w:val="en-US"/>
        </w:rPr>
        <w:t xml:space="preserve"> </w:t>
      </w:r>
      <w:proofErr w:type="spellStart"/>
      <w:r w:rsidR="00AB0BC8">
        <w:rPr>
          <w:rFonts w:ascii="Bookman Old Style" w:hAnsi="Bookman Old Style"/>
          <w:sz w:val="20"/>
          <w:szCs w:val="20"/>
          <w:lang w:val="en-US"/>
        </w:rPr>
        <w:t>bn</w:t>
      </w:r>
      <w:proofErr w:type="spellEnd"/>
      <w:r w:rsidR="00AB0BC8">
        <w:rPr>
          <w:rFonts w:ascii="Bookman Old Style" w:hAnsi="Bookman Old Style"/>
          <w:sz w:val="20"/>
          <w:szCs w:val="20"/>
          <w:lang w:val="en-US"/>
        </w:rPr>
        <w:t xml:space="preserve"> with the limit value, set by NBU, in the amount of UAH 200 </w:t>
      </w:r>
      <w:proofErr w:type="spellStart"/>
      <w:r w:rsidR="00AB0BC8">
        <w:rPr>
          <w:rFonts w:ascii="Bookman Old Style" w:hAnsi="Bookman Old Style"/>
          <w:sz w:val="20"/>
          <w:szCs w:val="20"/>
          <w:lang w:val="en-US"/>
        </w:rPr>
        <w:t>mln</w:t>
      </w:r>
      <w:proofErr w:type="spellEnd"/>
      <w:r w:rsidR="00AB0BC8">
        <w:rPr>
          <w:rFonts w:ascii="Bookman Old Style" w:hAnsi="Bookman Old Style"/>
          <w:sz w:val="20"/>
          <w:szCs w:val="20"/>
          <w:lang w:val="en-US"/>
        </w:rPr>
        <w:t>. Current amount of the Bank’s N1</w:t>
      </w:r>
      <w:r w:rsidR="00AB0BC8">
        <w:rPr>
          <w:rFonts w:ascii="Bookman Old Style" w:hAnsi="Bookman Old Style"/>
          <w:sz w:val="20"/>
          <w:szCs w:val="20"/>
          <w:lang w:val="en-US"/>
        </w:rPr>
        <w:t xml:space="preserve"> ratio indicates the fact that </w:t>
      </w:r>
      <w:r w:rsidR="00AB0BC8">
        <w:rPr>
          <w:rFonts w:ascii="Bookman Old Style" w:hAnsi="Bookman Old Style"/>
          <w:sz w:val="20"/>
          <w:szCs w:val="20"/>
          <w:lang w:val="en-US"/>
        </w:rPr>
        <w:t>JSC</w:t>
      </w:r>
      <w:r w:rsidR="00AB0BC8" w:rsidRPr="005D36D5">
        <w:rPr>
          <w:rFonts w:ascii="Bookman Old Style" w:hAnsi="Bookman Old Style"/>
          <w:sz w:val="20"/>
          <w:szCs w:val="20"/>
          <w:lang w:val="uk-UA"/>
        </w:rPr>
        <w:t xml:space="preserve"> “</w:t>
      </w:r>
      <w:r w:rsidR="00AB0BC8">
        <w:rPr>
          <w:rFonts w:ascii="Bookman Old Style" w:hAnsi="Bookman Old Style"/>
          <w:sz w:val="20"/>
          <w:szCs w:val="20"/>
          <w:lang w:val="en-US"/>
        </w:rPr>
        <w:t>CB</w:t>
      </w:r>
      <w:r w:rsidR="00AB0BC8" w:rsidRPr="005D36D5">
        <w:rPr>
          <w:rFonts w:ascii="Bookman Old Style" w:hAnsi="Bookman Old Style"/>
          <w:sz w:val="20"/>
          <w:szCs w:val="20"/>
          <w:lang w:val="uk-UA"/>
        </w:rPr>
        <w:t xml:space="preserve"> “</w:t>
      </w:r>
      <w:r w:rsidR="00AB0BC8">
        <w:rPr>
          <w:rFonts w:ascii="Bookman Old Style" w:hAnsi="Bookman Old Style"/>
          <w:sz w:val="20"/>
          <w:szCs w:val="20"/>
          <w:lang w:val="en-US"/>
        </w:rPr>
        <w:t>PRIVATBANK</w:t>
      </w:r>
      <w:r w:rsidR="00AB0BC8" w:rsidRPr="005D36D5">
        <w:rPr>
          <w:rFonts w:ascii="Bookman Old Style" w:hAnsi="Bookman Old Style"/>
          <w:sz w:val="20"/>
          <w:szCs w:val="20"/>
          <w:lang w:val="uk-UA"/>
        </w:rPr>
        <w:t xml:space="preserve">” </w:t>
      </w:r>
      <w:r w:rsidR="00AB0BC8">
        <w:rPr>
          <w:rFonts w:ascii="Bookman Old Style" w:hAnsi="Bookman Old Style"/>
          <w:sz w:val="20"/>
          <w:szCs w:val="20"/>
          <w:lang w:val="en-US"/>
        </w:rPr>
        <w:t>fully fulfils new NBU requirements to the N1 ratio and has a very great reserve to this normative. The probability of the Bank’s non-compliance of this normative</w:t>
      </w:r>
      <w:r w:rsidR="00AB0BC8">
        <w:rPr>
          <w:rFonts w:ascii="Bookman Old Style" w:hAnsi="Bookman Old Style"/>
          <w:sz w:val="20"/>
          <w:szCs w:val="20"/>
          <w:lang w:val="en-US"/>
        </w:rPr>
        <w:t>,</w:t>
      </w:r>
      <w:r w:rsidR="00AB0BC8">
        <w:rPr>
          <w:rFonts w:ascii="Bookman Old Style" w:hAnsi="Bookman Old Style"/>
          <w:sz w:val="20"/>
          <w:szCs w:val="20"/>
          <w:lang w:val="en-US"/>
        </w:rPr>
        <w:t xml:space="preserve"> in the </w:t>
      </w:r>
      <w:r w:rsidR="00AB0BC8">
        <w:rPr>
          <w:rFonts w:ascii="Bookman Old Style" w:hAnsi="Bookman Old Style"/>
          <w:sz w:val="20"/>
          <w:szCs w:val="20"/>
          <w:lang w:val="en-US"/>
        </w:rPr>
        <w:t>Agency’s opinion,</w:t>
      </w:r>
      <w:r w:rsidR="00AB0BC8">
        <w:rPr>
          <w:rFonts w:ascii="Bookman Old Style" w:hAnsi="Bookman Old Style"/>
          <w:sz w:val="20"/>
          <w:szCs w:val="20"/>
          <w:lang w:val="en-US"/>
        </w:rPr>
        <w:t xml:space="preserve"> is zero.</w:t>
      </w:r>
      <w:r w:rsidR="00AB0BC8">
        <w:rPr>
          <w:rFonts w:ascii="Bookman Old Style" w:hAnsi="Bookman Old Style"/>
          <w:sz w:val="20"/>
          <w:szCs w:val="20"/>
          <w:lang w:val="en-US"/>
        </w:rPr>
        <w:t xml:space="preserve"> </w:t>
      </w:r>
    </w:p>
    <w:p w14:paraId="4602BDC3" w14:textId="77777777" w:rsidR="004F48BC" w:rsidRPr="00AF79C9" w:rsidRDefault="004F48BC" w:rsidP="00222208">
      <w:pPr>
        <w:jc w:val="both"/>
        <w:rPr>
          <w:rFonts w:ascii="Bookman Old Style" w:hAnsi="Bookman Old Style"/>
          <w:sz w:val="20"/>
          <w:szCs w:val="20"/>
          <w:lang w:val="uk-UA"/>
        </w:rPr>
      </w:pPr>
    </w:p>
    <w:p w14:paraId="7236BFF2" w14:textId="4431EE1D" w:rsidR="00EB7CBF" w:rsidRPr="00AF79C9" w:rsidRDefault="00AA7F3A" w:rsidP="00625F57">
      <w:pPr>
        <w:ind w:firstLine="709"/>
        <w:jc w:val="both"/>
        <w:rPr>
          <w:rFonts w:ascii="Bookman Old Style" w:hAnsi="Bookman Old Style"/>
          <w:sz w:val="20"/>
          <w:szCs w:val="20"/>
          <w:lang w:val="uk-UA"/>
        </w:rPr>
      </w:pPr>
      <w:r>
        <w:rPr>
          <w:rFonts w:ascii="Bookman Old Style" w:hAnsi="Bookman Old Style"/>
          <w:sz w:val="20"/>
          <w:szCs w:val="20"/>
          <w:lang w:val="en-US"/>
        </w:rPr>
        <w:t>As</w:t>
      </w:r>
      <w:r w:rsidRPr="001011C7">
        <w:rPr>
          <w:rFonts w:ascii="Bookman Old Style" w:hAnsi="Bookman Old Style"/>
          <w:sz w:val="20"/>
          <w:szCs w:val="20"/>
          <w:lang w:val="uk-UA"/>
        </w:rPr>
        <w:t xml:space="preserve"> </w:t>
      </w:r>
      <w:r>
        <w:rPr>
          <w:rFonts w:ascii="Bookman Old Style" w:hAnsi="Bookman Old Style"/>
          <w:sz w:val="20"/>
          <w:szCs w:val="20"/>
          <w:lang w:val="en-US"/>
        </w:rPr>
        <w:t>of</w:t>
      </w:r>
      <w:r w:rsidRPr="00C075AF">
        <w:rPr>
          <w:rFonts w:ascii="Bookman Old Style" w:hAnsi="Bookman Old Style"/>
          <w:sz w:val="20"/>
          <w:szCs w:val="20"/>
          <w:lang w:val="uk-UA"/>
        </w:rPr>
        <w:t xml:space="preserve"> 0</w:t>
      </w:r>
      <w:r>
        <w:rPr>
          <w:rFonts w:ascii="Bookman Old Style" w:hAnsi="Bookman Old Style"/>
          <w:sz w:val="20"/>
          <w:szCs w:val="20"/>
          <w:lang w:val="en-US"/>
        </w:rPr>
        <w:t>3</w:t>
      </w:r>
      <w:r w:rsidRPr="00C075AF">
        <w:rPr>
          <w:rFonts w:ascii="Bookman Old Style" w:hAnsi="Bookman Old Style"/>
          <w:sz w:val="20"/>
          <w:szCs w:val="20"/>
          <w:lang w:val="uk-UA"/>
        </w:rPr>
        <w:t>.0</w:t>
      </w:r>
      <w:r>
        <w:rPr>
          <w:rFonts w:ascii="Bookman Old Style" w:hAnsi="Bookman Old Style"/>
          <w:sz w:val="20"/>
          <w:szCs w:val="20"/>
          <w:lang w:val="en-US"/>
        </w:rPr>
        <w:t>9</w:t>
      </w:r>
      <w:r w:rsidRPr="00C075AF">
        <w:rPr>
          <w:rFonts w:ascii="Bookman Old Style" w:hAnsi="Bookman Old Style"/>
          <w:sz w:val="20"/>
          <w:szCs w:val="20"/>
          <w:lang w:val="uk-UA"/>
        </w:rPr>
        <w:t>.201</w:t>
      </w:r>
      <w:r>
        <w:rPr>
          <w:rFonts w:ascii="Bookman Old Style" w:hAnsi="Bookman Old Style"/>
          <w:sz w:val="20"/>
          <w:szCs w:val="20"/>
          <w:lang w:val="en-US"/>
        </w:rPr>
        <w:t>8</w:t>
      </w:r>
      <w:r w:rsidRPr="001011C7">
        <w:rPr>
          <w:rFonts w:ascii="Bookman Old Style" w:hAnsi="Bookman Old Style"/>
          <w:sz w:val="20"/>
          <w:szCs w:val="20"/>
          <w:lang w:val="uk-UA"/>
        </w:rPr>
        <w:t xml:space="preserve"> </w:t>
      </w:r>
      <w:r>
        <w:rPr>
          <w:rFonts w:ascii="Bookman Old Style" w:hAnsi="Bookman Old Style"/>
          <w:sz w:val="20"/>
          <w:szCs w:val="20"/>
          <w:lang w:val="en-US"/>
        </w:rPr>
        <w:t>the</w:t>
      </w:r>
      <w:r>
        <w:rPr>
          <w:rFonts w:ascii="Bookman Old Style" w:hAnsi="Bookman Old Style"/>
          <w:sz w:val="20"/>
          <w:szCs w:val="20"/>
          <w:lang w:val="en-US"/>
        </w:rPr>
        <w:t xml:space="preserve"> Bank’s</w:t>
      </w:r>
      <w:r w:rsidRPr="001011C7">
        <w:rPr>
          <w:rFonts w:ascii="Bookman Old Style" w:hAnsi="Bookman Old Style"/>
          <w:sz w:val="20"/>
          <w:szCs w:val="20"/>
          <w:lang w:val="uk-UA"/>
        </w:rPr>
        <w:t xml:space="preserve"> </w:t>
      </w:r>
      <w:r>
        <w:rPr>
          <w:rFonts w:ascii="Bookman Old Style" w:hAnsi="Bookman Old Style"/>
          <w:sz w:val="20"/>
          <w:szCs w:val="20"/>
          <w:lang w:val="en-US"/>
        </w:rPr>
        <w:t>regulatory</w:t>
      </w:r>
      <w:r w:rsidRPr="001011C7">
        <w:rPr>
          <w:rFonts w:ascii="Bookman Old Style" w:hAnsi="Bookman Old Style"/>
          <w:sz w:val="20"/>
          <w:szCs w:val="20"/>
          <w:lang w:val="uk-UA"/>
        </w:rPr>
        <w:t xml:space="preserve"> </w:t>
      </w:r>
      <w:r>
        <w:rPr>
          <w:rFonts w:ascii="Bookman Old Style" w:hAnsi="Bookman Old Style"/>
          <w:sz w:val="20"/>
          <w:szCs w:val="20"/>
          <w:lang w:val="en-US"/>
        </w:rPr>
        <w:t>capital</w:t>
      </w:r>
      <w:r w:rsidRPr="001011C7">
        <w:rPr>
          <w:rFonts w:ascii="Bookman Old Style" w:hAnsi="Bookman Old Style"/>
          <w:sz w:val="20"/>
          <w:szCs w:val="20"/>
          <w:lang w:val="uk-UA"/>
        </w:rPr>
        <w:t xml:space="preserve"> </w:t>
      </w:r>
      <w:r>
        <w:rPr>
          <w:rFonts w:ascii="Bookman Old Style" w:hAnsi="Bookman Old Style"/>
          <w:sz w:val="20"/>
          <w:szCs w:val="20"/>
          <w:lang w:val="en-US"/>
        </w:rPr>
        <w:t>adequacy</w:t>
      </w:r>
      <w:r w:rsidRPr="001011C7">
        <w:rPr>
          <w:rFonts w:ascii="Bookman Old Style" w:hAnsi="Bookman Old Style"/>
          <w:sz w:val="20"/>
          <w:szCs w:val="20"/>
          <w:lang w:val="uk-UA"/>
        </w:rPr>
        <w:t xml:space="preserve"> </w:t>
      </w:r>
      <w:r>
        <w:rPr>
          <w:rFonts w:ascii="Bookman Old Style" w:hAnsi="Bookman Old Style"/>
          <w:sz w:val="20"/>
          <w:szCs w:val="20"/>
          <w:lang w:val="en-US"/>
        </w:rPr>
        <w:t>normative</w:t>
      </w:r>
      <w:r w:rsidRPr="001011C7">
        <w:rPr>
          <w:rFonts w:ascii="Bookman Old Style" w:hAnsi="Bookman Old Style"/>
          <w:sz w:val="20"/>
          <w:szCs w:val="20"/>
          <w:lang w:val="uk-UA"/>
        </w:rPr>
        <w:t xml:space="preserve"> </w:t>
      </w:r>
      <w:r>
        <w:rPr>
          <w:rFonts w:ascii="Bookman Old Style" w:hAnsi="Bookman Old Style"/>
          <w:sz w:val="20"/>
          <w:szCs w:val="20"/>
          <w:lang w:val="en-US"/>
        </w:rPr>
        <w:t>has</w:t>
      </w:r>
      <w:r w:rsidRPr="001011C7">
        <w:rPr>
          <w:rFonts w:ascii="Bookman Old Style" w:hAnsi="Bookman Old Style"/>
          <w:sz w:val="20"/>
          <w:szCs w:val="20"/>
          <w:lang w:val="uk-UA"/>
        </w:rPr>
        <w:t xml:space="preserve"> </w:t>
      </w:r>
      <w:r>
        <w:rPr>
          <w:rFonts w:ascii="Bookman Old Style" w:hAnsi="Bookman Old Style"/>
          <w:sz w:val="20"/>
          <w:szCs w:val="20"/>
          <w:lang w:val="en-US"/>
        </w:rPr>
        <w:t>amounted</w:t>
      </w:r>
      <w:r w:rsidRPr="001011C7">
        <w:rPr>
          <w:rFonts w:ascii="Bookman Old Style" w:hAnsi="Bookman Old Style"/>
          <w:sz w:val="20"/>
          <w:szCs w:val="20"/>
          <w:lang w:val="uk-UA"/>
        </w:rPr>
        <w:t xml:space="preserve"> </w:t>
      </w:r>
      <w:r>
        <w:rPr>
          <w:rFonts w:ascii="Bookman Old Style" w:hAnsi="Bookman Old Style"/>
          <w:sz w:val="20"/>
          <w:szCs w:val="20"/>
          <w:lang w:val="en-US"/>
        </w:rPr>
        <w:t>to</w:t>
      </w:r>
      <w:r w:rsidRPr="001011C7">
        <w:rPr>
          <w:rFonts w:ascii="Bookman Old Style" w:hAnsi="Bookman Old Style"/>
          <w:sz w:val="20"/>
          <w:szCs w:val="20"/>
          <w:lang w:val="uk-UA"/>
        </w:rPr>
        <w:t xml:space="preserve"> </w:t>
      </w:r>
      <w:r w:rsidRPr="00AF79C9">
        <w:rPr>
          <w:rFonts w:ascii="Bookman Old Style" w:hAnsi="Bookman Old Style"/>
          <w:sz w:val="20"/>
          <w:szCs w:val="20"/>
          <w:lang w:val="uk-UA"/>
        </w:rPr>
        <w:t>18</w:t>
      </w:r>
      <w:proofErr w:type="gramStart"/>
      <w:r w:rsidRPr="00AF79C9">
        <w:rPr>
          <w:rFonts w:ascii="Bookman Old Style" w:hAnsi="Bookman Old Style"/>
          <w:sz w:val="20"/>
          <w:szCs w:val="20"/>
          <w:lang w:val="uk-UA"/>
        </w:rPr>
        <w:t>,69</w:t>
      </w:r>
      <w:proofErr w:type="gramEnd"/>
      <w:r w:rsidRPr="001011C7">
        <w:rPr>
          <w:rFonts w:ascii="Bookman Old Style" w:hAnsi="Bookman Old Style"/>
          <w:sz w:val="20"/>
          <w:szCs w:val="20"/>
          <w:lang w:val="uk-UA"/>
        </w:rPr>
        <w:t>%</w:t>
      </w:r>
      <w:r>
        <w:rPr>
          <w:rFonts w:ascii="Bookman Old Style" w:hAnsi="Bookman Old Style"/>
          <w:sz w:val="20"/>
          <w:szCs w:val="20"/>
          <w:lang w:val="en-US"/>
        </w:rPr>
        <w:t>. Throughout almost a year</w:t>
      </w:r>
      <w:r w:rsidR="005D61ED">
        <w:rPr>
          <w:rFonts w:ascii="Bookman Old Style" w:hAnsi="Bookman Old Style"/>
          <w:sz w:val="20"/>
          <w:szCs w:val="20"/>
          <w:lang w:val="en-US"/>
        </w:rPr>
        <w:t xml:space="preserve"> the Bank hasn’t violated the N2 ratio.</w:t>
      </w:r>
      <w:r w:rsidR="0007699F">
        <w:rPr>
          <w:rFonts w:ascii="Bookman Old Style" w:hAnsi="Bookman Old Style"/>
          <w:sz w:val="20"/>
          <w:szCs w:val="20"/>
          <w:lang w:val="en-US"/>
        </w:rPr>
        <w:t xml:space="preserve"> Moreover, for July of 2017 the Bank has achieved a gradual increase in the N2 ratio and in fact on 03.09.2018 has formed a reserve of 8,69 p.p. on N2 ratio.</w:t>
      </w:r>
      <w:r w:rsidRPr="001011C7">
        <w:rPr>
          <w:rFonts w:ascii="Bookman Old Style" w:hAnsi="Bookman Old Style"/>
          <w:sz w:val="20"/>
          <w:szCs w:val="20"/>
          <w:lang w:val="uk-UA"/>
        </w:rPr>
        <w:t xml:space="preserve"> </w:t>
      </w:r>
    </w:p>
    <w:p w14:paraId="79F7691B" w14:textId="23883954" w:rsidR="00B23BA8" w:rsidRPr="00AF79C9" w:rsidRDefault="00B23BA8" w:rsidP="00625F57">
      <w:pPr>
        <w:ind w:firstLine="709"/>
        <w:jc w:val="both"/>
        <w:rPr>
          <w:rFonts w:ascii="Bookman Old Style" w:hAnsi="Bookman Old Style"/>
          <w:sz w:val="20"/>
          <w:szCs w:val="20"/>
          <w:lang w:val="uk-UA"/>
        </w:rPr>
      </w:pPr>
    </w:p>
    <w:p w14:paraId="3C0C238F" w14:textId="77777777" w:rsidR="00B23BA8" w:rsidRPr="00AF79C9" w:rsidRDefault="00B23BA8" w:rsidP="00625F57">
      <w:pPr>
        <w:ind w:firstLine="709"/>
        <w:jc w:val="both"/>
        <w:rPr>
          <w:rFonts w:ascii="Bookman Old Style" w:hAnsi="Bookman Old Style"/>
          <w:sz w:val="20"/>
          <w:szCs w:val="20"/>
          <w:lang w:val="uk-UA"/>
        </w:rPr>
      </w:pPr>
    </w:p>
    <w:p w14:paraId="396EAC83" w14:textId="77777777" w:rsidR="00112AE8" w:rsidRPr="00AF79C9" w:rsidRDefault="00112AE8" w:rsidP="00625F57">
      <w:pPr>
        <w:ind w:firstLine="709"/>
        <w:jc w:val="both"/>
        <w:rPr>
          <w:rFonts w:ascii="Bookman Old Style" w:hAnsi="Bookman Old Style"/>
          <w:sz w:val="20"/>
          <w:szCs w:val="20"/>
          <w:lang w:val="uk-UA"/>
        </w:rPr>
      </w:pPr>
    </w:p>
    <w:p w14:paraId="65DCF255" w14:textId="2DDA8485" w:rsidR="004F48BC" w:rsidRPr="00AF79C9" w:rsidRDefault="0099357B" w:rsidP="00910CDD">
      <w:pPr>
        <w:jc w:val="center"/>
        <w:rPr>
          <w:rFonts w:ascii="Bookman Old Style" w:hAnsi="Bookman Old Style"/>
          <w:sz w:val="20"/>
          <w:szCs w:val="20"/>
          <w:lang w:val="uk-UA"/>
        </w:rPr>
      </w:pPr>
      <w:r>
        <w:rPr>
          <w:rFonts w:ascii="Bookman Old Style" w:hAnsi="Bookman Old Style"/>
          <w:noProof/>
          <w:sz w:val="20"/>
          <w:szCs w:val="20"/>
        </w:rPr>
        <w:drawing>
          <wp:inline distT="0" distB="0" distL="0" distR="0" wp14:anchorId="30A4C312" wp14:editId="036FBAB2">
            <wp:extent cx="6305550" cy="3838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838" cy="3841185"/>
                    </a:xfrm>
                    <a:prstGeom prst="rect">
                      <a:avLst/>
                    </a:prstGeom>
                    <a:noFill/>
                  </pic:spPr>
                </pic:pic>
              </a:graphicData>
            </a:graphic>
          </wp:inline>
        </w:drawing>
      </w:r>
    </w:p>
    <w:p w14:paraId="6849916D" w14:textId="77777777" w:rsidR="00654CE5" w:rsidRPr="00AF79C9" w:rsidRDefault="00654CE5" w:rsidP="00DF51D1">
      <w:pPr>
        <w:jc w:val="both"/>
        <w:rPr>
          <w:rFonts w:ascii="Bookman Old Style" w:hAnsi="Bookman Old Style"/>
          <w:sz w:val="20"/>
          <w:szCs w:val="20"/>
          <w:lang w:val="uk-UA"/>
        </w:rPr>
      </w:pPr>
    </w:p>
    <w:p w14:paraId="6DE07447" w14:textId="77777777" w:rsidR="00B23BA8" w:rsidRPr="00AF79C9" w:rsidRDefault="00B23BA8" w:rsidP="00625F57">
      <w:pPr>
        <w:ind w:firstLine="709"/>
        <w:jc w:val="both"/>
        <w:rPr>
          <w:rFonts w:ascii="Bookman Old Style" w:hAnsi="Bookman Old Style"/>
          <w:sz w:val="20"/>
          <w:szCs w:val="20"/>
          <w:lang w:val="uk-UA"/>
        </w:rPr>
      </w:pPr>
    </w:p>
    <w:p w14:paraId="0E9BD16D" w14:textId="77777777" w:rsidR="006B731A" w:rsidRDefault="006B731A" w:rsidP="00625F57">
      <w:pPr>
        <w:ind w:firstLine="709"/>
        <w:jc w:val="both"/>
        <w:rPr>
          <w:rFonts w:ascii="Bookman Old Style" w:hAnsi="Bookman Old Style"/>
          <w:sz w:val="20"/>
          <w:szCs w:val="20"/>
          <w:lang w:val="en-US"/>
        </w:rPr>
      </w:pPr>
    </w:p>
    <w:p w14:paraId="695CE7AC" w14:textId="6B723C4D" w:rsidR="005C5B6F" w:rsidRPr="00AF79C9" w:rsidRDefault="00C03CA0" w:rsidP="00625F57">
      <w:pPr>
        <w:ind w:firstLine="709"/>
        <w:jc w:val="both"/>
        <w:rPr>
          <w:rFonts w:ascii="Bookman Old Style" w:hAnsi="Bookman Old Style"/>
          <w:sz w:val="20"/>
          <w:szCs w:val="20"/>
          <w:lang w:val="uk-UA"/>
        </w:rPr>
      </w:pPr>
      <w:r>
        <w:rPr>
          <w:rFonts w:ascii="Bookman Old Style" w:hAnsi="Bookman Old Style"/>
          <w:sz w:val="20"/>
          <w:szCs w:val="20"/>
          <w:lang w:val="en-US"/>
        </w:rPr>
        <w:t xml:space="preserve">In the Agency’s opinion, the Bank was very well provided with regulatory capital. Besides, a positive impact on the </w:t>
      </w:r>
      <w:r w:rsidR="00866D86">
        <w:rPr>
          <w:rFonts w:ascii="Bookman Old Style" w:hAnsi="Bookman Old Style"/>
          <w:sz w:val="20"/>
          <w:szCs w:val="20"/>
          <w:lang w:val="en-US"/>
        </w:rPr>
        <w:t>loan</w:t>
      </w:r>
      <w:r>
        <w:rPr>
          <w:rFonts w:ascii="Bookman Old Style" w:hAnsi="Bookman Old Style"/>
          <w:sz w:val="20"/>
          <w:szCs w:val="20"/>
          <w:lang w:val="en-US"/>
        </w:rPr>
        <w:t xml:space="preserve"> risk of the Bank</w:t>
      </w:r>
      <w:r w:rsidR="00866D86">
        <w:rPr>
          <w:rFonts w:ascii="Bookman Old Style" w:hAnsi="Bookman Old Style"/>
          <w:sz w:val="20"/>
          <w:szCs w:val="20"/>
          <w:lang w:val="en-US"/>
        </w:rPr>
        <w:t xml:space="preserve"> was provided by a high level of external support from its shareholder – the State Ukraine </w:t>
      </w:r>
      <w:r w:rsidR="00866D86" w:rsidRPr="00866D86">
        <w:rPr>
          <w:rFonts w:ascii="Bookman Old Style" w:hAnsi="Bookman Old Style"/>
          <w:sz w:val="20"/>
          <w:szCs w:val="20"/>
          <w:lang w:val="en-US"/>
        </w:rPr>
        <w:t>represented by the Ministry of Finance of Ukraine, which has repeatedly demonstrated the possibility of such support in practice.</w:t>
      </w:r>
      <w:r>
        <w:rPr>
          <w:rFonts w:ascii="Bookman Old Style" w:hAnsi="Bookman Old Style"/>
          <w:sz w:val="20"/>
          <w:szCs w:val="20"/>
          <w:lang w:val="en-US"/>
        </w:rPr>
        <w:t xml:space="preserve"> </w:t>
      </w:r>
    </w:p>
    <w:p w14:paraId="2C30B2F6" w14:textId="3D7E1CB7" w:rsidR="00DD3D6F" w:rsidRPr="00AF79C9" w:rsidRDefault="00DD3D6F" w:rsidP="00625F57">
      <w:pPr>
        <w:ind w:firstLine="709"/>
        <w:jc w:val="both"/>
        <w:rPr>
          <w:rFonts w:ascii="Bookman Old Style" w:hAnsi="Bookman Old Style"/>
          <w:sz w:val="20"/>
          <w:szCs w:val="20"/>
          <w:lang w:val="uk-UA"/>
        </w:rPr>
      </w:pPr>
    </w:p>
    <w:p w14:paraId="2A207F82" w14:textId="77777777" w:rsidR="00B23BA8" w:rsidRPr="00AF79C9" w:rsidRDefault="00B23BA8" w:rsidP="00625F57">
      <w:pPr>
        <w:ind w:firstLine="709"/>
        <w:jc w:val="both"/>
        <w:rPr>
          <w:rFonts w:ascii="Bookman Old Style" w:hAnsi="Bookman Old Style"/>
          <w:sz w:val="20"/>
          <w:szCs w:val="20"/>
          <w:lang w:val="uk-UA"/>
        </w:rPr>
      </w:pPr>
    </w:p>
    <w:p w14:paraId="634E5C69" w14:textId="34E33A14" w:rsidR="0079485A" w:rsidRPr="00AF79C9" w:rsidRDefault="00977C22" w:rsidP="0079485A">
      <w:pPr>
        <w:ind w:firstLine="708"/>
        <w:jc w:val="both"/>
        <w:rPr>
          <w:rFonts w:ascii="Bookman Old Style" w:hAnsi="Bookman Old Style"/>
          <w:sz w:val="20"/>
          <w:szCs w:val="20"/>
          <w:lang w:val="uk-UA"/>
        </w:rPr>
      </w:pPr>
      <w:proofErr w:type="gramStart"/>
      <w:r>
        <w:rPr>
          <w:rFonts w:ascii="Bookman Old Style" w:hAnsi="Bookman Old Style"/>
          <w:sz w:val="20"/>
          <w:szCs w:val="20"/>
          <w:lang w:val="en-US"/>
        </w:rPr>
        <w:t>Liquidity</w:t>
      </w:r>
      <w:r w:rsidRPr="0098049A">
        <w:rPr>
          <w:rFonts w:ascii="Bookman Old Style" w:hAnsi="Bookman Old Style"/>
          <w:sz w:val="20"/>
          <w:szCs w:val="20"/>
          <w:lang w:val="uk-UA"/>
        </w:rPr>
        <w:t xml:space="preserve"> </w:t>
      </w:r>
      <w:r>
        <w:rPr>
          <w:rFonts w:ascii="Bookman Old Style" w:hAnsi="Bookman Old Style"/>
          <w:sz w:val="20"/>
          <w:szCs w:val="20"/>
          <w:lang w:val="en-US"/>
        </w:rPr>
        <w:t>ratios</w:t>
      </w:r>
      <w:r w:rsidRPr="0098049A">
        <w:rPr>
          <w:rFonts w:ascii="Bookman Old Style" w:hAnsi="Bookman Old Style"/>
          <w:sz w:val="20"/>
          <w:szCs w:val="20"/>
          <w:lang w:val="uk-UA"/>
        </w:rPr>
        <w:t xml:space="preserve"> </w:t>
      </w:r>
      <w:r>
        <w:rPr>
          <w:rFonts w:ascii="Bookman Old Style" w:hAnsi="Bookman Old Style"/>
          <w:sz w:val="20"/>
          <w:szCs w:val="20"/>
          <w:lang w:val="en-US"/>
        </w:rPr>
        <w:t>of</w:t>
      </w:r>
      <w:r w:rsidRPr="0098049A">
        <w:rPr>
          <w:rFonts w:ascii="Bookman Old Style" w:hAnsi="Bookman Old Style"/>
          <w:sz w:val="20"/>
          <w:szCs w:val="20"/>
          <w:lang w:val="uk-UA"/>
        </w:rPr>
        <w:t xml:space="preserve"> </w:t>
      </w:r>
      <w:r>
        <w:rPr>
          <w:rFonts w:ascii="Bookman Old Style" w:hAnsi="Bookman Old Style"/>
          <w:sz w:val="20"/>
          <w:szCs w:val="20"/>
          <w:lang w:val="en-US"/>
        </w:rPr>
        <w:t>PJSC</w:t>
      </w:r>
      <w:r w:rsidRPr="005D36D5">
        <w:rPr>
          <w:rFonts w:ascii="Bookman Old Style" w:hAnsi="Bookman Old Style"/>
          <w:sz w:val="20"/>
          <w:szCs w:val="20"/>
          <w:lang w:val="uk-UA"/>
        </w:rPr>
        <w:t xml:space="preserve"> “</w:t>
      </w:r>
      <w:r>
        <w:rPr>
          <w:rFonts w:ascii="Bookman Old Style" w:hAnsi="Bookman Old Style"/>
          <w:sz w:val="20"/>
          <w:szCs w:val="20"/>
          <w:lang w:val="en-US"/>
        </w:rPr>
        <w:t>CB</w:t>
      </w:r>
      <w:r w:rsidRPr="005D36D5">
        <w:rPr>
          <w:rFonts w:ascii="Bookman Old Style" w:hAnsi="Bookman Old Style"/>
          <w:sz w:val="20"/>
          <w:szCs w:val="20"/>
          <w:lang w:val="uk-UA"/>
        </w:rPr>
        <w:t xml:space="preserve"> “</w:t>
      </w:r>
      <w:r>
        <w:rPr>
          <w:rFonts w:ascii="Bookman Old Style" w:hAnsi="Bookman Old Style"/>
          <w:sz w:val="20"/>
          <w:szCs w:val="20"/>
          <w:lang w:val="en-US"/>
        </w:rPr>
        <w:t>PRIVATBANK</w:t>
      </w:r>
      <w:r>
        <w:rPr>
          <w:rFonts w:ascii="Bookman Old Style" w:hAnsi="Bookman Old Style"/>
          <w:sz w:val="20"/>
          <w:szCs w:val="20"/>
          <w:lang w:val="uk-UA"/>
        </w:rPr>
        <w:t>”</w:t>
      </w:r>
      <w:r w:rsidRPr="0098049A">
        <w:rPr>
          <w:rFonts w:ascii="Bookman Old Style" w:hAnsi="Bookman Old Style"/>
          <w:sz w:val="20"/>
          <w:szCs w:val="20"/>
          <w:lang w:val="uk-UA"/>
        </w:rPr>
        <w:t xml:space="preserve"> </w:t>
      </w:r>
      <w:r>
        <w:rPr>
          <w:rFonts w:ascii="Bookman Old Style" w:hAnsi="Bookman Old Style"/>
          <w:sz w:val="20"/>
          <w:szCs w:val="20"/>
          <w:lang w:val="en-US"/>
        </w:rPr>
        <w:t>for</w:t>
      </w:r>
      <w:r w:rsidRPr="0098049A">
        <w:rPr>
          <w:rFonts w:ascii="Bookman Old Style" w:hAnsi="Bookman Old Style"/>
          <w:sz w:val="20"/>
          <w:szCs w:val="20"/>
          <w:lang w:val="uk-UA"/>
        </w:rPr>
        <w:t xml:space="preserve"> </w:t>
      </w:r>
      <w:r>
        <w:rPr>
          <w:rFonts w:ascii="Bookman Old Style" w:hAnsi="Bookman Old Style"/>
          <w:sz w:val="20"/>
          <w:szCs w:val="20"/>
          <w:lang w:val="en-US"/>
        </w:rPr>
        <w:t>the</w:t>
      </w:r>
      <w:r w:rsidRPr="0098049A">
        <w:rPr>
          <w:rFonts w:ascii="Bookman Old Style" w:hAnsi="Bookman Old Style"/>
          <w:sz w:val="20"/>
          <w:szCs w:val="20"/>
          <w:lang w:val="uk-UA"/>
        </w:rPr>
        <w:t xml:space="preserve"> </w:t>
      </w:r>
      <w:r>
        <w:rPr>
          <w:rFonts w:ascii="Bookman Old Style" w:hAnsi="Bookman Old Style"/>
          <w:sz w:val="20"/>
          <w:szCs w:val="20"/>
          <w:lang w:val="en-US"/>
        </w:rPr>
        <w:t>period</w:t>
      </w:r>
      <w:r w:rsidRPr="0098049A">
        <w:rPr>
          <w:rFonts w:ascii="Bookman Old Style" w:hAnsi="Bookman Old Style"/>
          <w:sz w:val="20"/>
          <w:szCs w:val="20"/>
          <w:lang w:val="uk-UA"/>
        </w:rPr>
        <w:t xml:space="preserve"> </w:t>
      </w:r>
      <w:r>
        <w:rPr>
          <w:rFonts w:ascii="Bookman Old Style" w:hAnsi="Bookman Old Style"/>
          <w:sz w:val="20"/>
          <w:szCs w:val="20"/>
          <w:lang w:val="en-US"/>
        </w:rPr>
        <w:t>from</w:t>
      </w:r>
      <w:r w:rsidRPr="0098049A">
        <w:rPr>
          <w:rFonts w:ascii="Bookman Old Style" w:hAnsi="Bookman Old Style"/>
          <w:sz w:val="20"/>
          <w:szCs w:val="20"/>
          <w:lang w:val="uk-UA"/>
        </w:rPr>
        <w:t xml:space="preserve"> </w:t>
      </w:r>
      <w:r w:rsidRPr="007E5724">
        <w:rPr>
          <w:rFonts w:ascii="Bookman Old Style" w:hAnsi="Bookman Old Style"/>
          <w:sz w:val="20"/>
          <w:szCs w:val="20"/>
          <w:lang w:val="uk-UA"/>
        </w:rPr>
        <w:t>01.01.201</w:t>
      </w:r>
      <w:r w:rsidRPr="00977C22">
        <w:rPr>
          <w:rFonts w:ascii="Bookman Old Style" w:hAnsi="Bookman Old Style"/>
          <w:sz w:val="20"/>
          <w:szCs w:val="20"/>
          <w:lang w:val="uk-UA"/>
        </w:rPr>
        <w:t>8</w:t>
      </w:r>
      <w:r w:rsidRPr="007E5724">
        <w:rPr>
          <w:rFonts w:ascii="Bookman Old Style" w:hAnsi="Bookman Old Style"/>
          <w:sz w:val="20"/>
          <w:szCs w:val="20"/>
          <w:lang w:val="uk-UA"/>
        </w:rPr>
        <w:t xml:space="preserve"> </w:t>
      </w:r>
      <w:r>
        <w:rPr>
          <w:rFonts w:ascii="Bookman Old Style" w:hAnsi="Bookman Old Style"/>
          <w:sz w:val="20"/>
          <w:szCs w:val="20"/>
          <w:lang w:val="en-US"/>
        </w:rPr>
        <w:t>to</w:t>
      </w:r>
      <w:r w:rsidRPr="007E5724">
        <w:rPr>
          <w:rFonts w:ascii="Bookman Old Style" w:hAnsi="Bookman Old Style"/>
          <w:sz w:val="20"/>
          <w:szCs w:val="20"/>
          <w:lang w:val="uk-UA"/>
        </w:rPr>
        <w:t xml:space="preserve"> 01.0</w:t>
      </w:r>
      <w:r w:rsidRPr="00977C22">
        <w:rPr>
          <w:rFonts w:ascii="Bookman Old Style" w:hAnsi="Bookman Old Style"/>
          <w:sz w:val="20"/>
          <w:szCs w:val="20"/>
          <w:lang w:val="uk-UA"/>
        </w:rPr>
        <w:t>7</w:t>
      </w:r>
      <w:r w:rsidRPr="007E5724">
        <w:rPr>
          <w:rFonts w:ascii="Bookman Old Style" w:hAnsi="Bookman Old Style"/>
          <w:sz w:val="20"/>
          <w:szCs w:val="20"/>
          <w:lang w:val="uk-UA"/>
        </w:rPr>
        <w:t>.2018</w:t>
      </w:r>
      <w:r w:rsidRPr="00977C22">
        <w:rPr>
          <w:rFonts w:ascii="Bookman Old Style" w:hAnsi="Bookman Old Style"/>
          <w:sz w:val="20"/>
          <w:szCs w:val="20"/>
          <w:lang w:val="uk-UA"/>
        </w:rPr>
        <w:t xml:space="preserve"> </w:t>
      </w:r>
      <w:r>
        <w:rPr>
          <w:rFonts w:ascii="Bookman Old Style" w:hAnsi="Bookman Old Style"/>
          <w:sz w:val="20"/>
          <w:szCs w:val="20"/>
          <w:lang w:val="en-US"/>
        </w:rPr>
        <w:t>have</w:t>
      </w:r>
      <w:r w:rsidRPr="00977C22">
        <w:rPr>
          <w:rFonts w:ascii="Bookman Old Style" w:hAnsi="Bookman Old Style"/>
          <w:sz w:val="20"/>
          <w:szCs w:val="20"/>
          <w:lang w:val="uk-UA"/>
        </w:rPr>
        <w:t xml:space="preserve"> </w:t>
      </w:r>
      <w:r>
        <w:rPr>
          <w:rFonts w:ascii="Bookman Old Style" w:hAnsi="Bookman Old Style"/>
          <w:sz w:val="20"/>
          <w:szCs w:val="20"/>
          <w:lang w:val="en-US"/>
        </w:rPr>
        <w:t>demonstrated</w:t>
      </w:r>
      <w:r w:rsidRPr="00977C22">
        <w:rPr>
          <w:rFonts w:ascii="Bookman Old Style" w:hAnsi="Bookman Old Style"/>
          <w:sz w:val="20"/>
          <w:szCs w:val="20"/>
          <w:lang w:val="uk-UA"/>
        </w:rPr>
        <w:t xml:space="preserve"> </w:t>
      </w:r>
      <w:r>
        <w:rPr>
          <w:rFonts w:ascii="Bookman Old Style" w:hAnsi="Bookman Old Style"/>
          <w:sz w:val="20"/>
          <w:szCs w:val="20"/>
          <w:lang w:val="en-US"/>
        </w:rPr>
        <w:t>the</w:t>
      </w:r>
      <w:r w:rsidRPr="00977C22">
        <w:rPr>
          <w:rFonts w:ascii="Bookman Old Style" w:hAnsi="Bookman Old Style"/>
          <w:sz w:val="20"/>
          <w:szCs w:val="20"/>
          <w:lang w:val="uk-UA"/>
        </w:rPr>
        <w:t xml:space="preserve"> </w:t>
      </w:r>
      <w:r>
        <w:rPr>
          <w:rFonts w:ascii="Bookman Old Style" w:hAnsi="Bookman Old Style"/>
          <w:sz w:val="20"/>
          <w:szCs w:val="20"/>
          <w:lang w:val="en-US"/>
        </w:rPr>
        <w:t>following</w:t>
      </w:r>
      <w:r w:rsidRPr="00977C22">
        <w:rPr>
          <w:rFonts w:ascii="Bookman Old Style" w:hAnsi="Bookman Old Style"/>
          <w:sz w:val="20"/>
          <w:szCs w:val="20"/>
          <w:lang w:val="uk-UA"/>
        </w:rPr>
        <w:t xml:space="preserve"> </w:t>
      </w:r>
      <w:r>
        <w:rPr>
          <w:rFonts w:ascii="Bookman Old Style" w:hAnsi="Bookman Old Style"/>
          <w:sz w:val="20"/>
          <w:szCs w:val="20"/>
          <w:lang w:val="en-US"/>
        </w:rPr>
        <w:t>dynamics</w:t>
      </w:r>
      <w:r w:rsidR="0079485A" w:rsidRPr="00AF79C9">
        <w:rPr>
          <w:rFonts w:ascii="Bookman Old Style" w:hAnsi="Bookman Old Style"/>
          <w:sz w:val="20"/>
          <w:szCs w:val="20"/>
          <w:lang w:val="uk-UA"/>
        </w:rPr>
        <w:t>:</w:t>
      </w:r>
      <w:proofErr w:type="gramEnd"/>
    </w:p>
    <w:p w14:paraId="503C0834" w14:textId="19190978" w:rsidR="0079485A" w:rsidRPr="00AF79C9" w:rsidRDefault="00C13ADE" w:rsidP="0079485A">
      <w:pPr>
        <w:numPr>
          <w:ilvl w:val="0"/>
          <w:numId w:val="11"/>
        </w:numPr>
        <w:jc w:val="both"/>
        <w:rPr>
          <w:rFonts w:ascii="Bookman Old Style" w:hAnsi="Bookman Old Style"/>
          <w:sz w:val="20"/>
          <w:szCs w:val="20"/>
          <w:lang w:val="uk-UA"/>
        </w:rPr>
      </w:pPr>
      <w:r>
        <w:rPr>
          <w:rFonts w:ascii="Bookman Old Style" w:hAnsi="Bookman Old Style"/>
          <w:sz w:val="20"/>
          <w:szCs w:val="20"/>
          <w:lang w:val="en-US"/>
        </w:rPr>
        <w:t>Instant</w:t>
      </w:r>
      <w:r w:rsidRPr="0098049A">
        <w:rPr>
          <w:rFonts w:ascii="Bookman Old Style" w:hAnsi="Bookman Old Style"/>
          <w:sz w:val="20"/>
          <w:szCs w:val="20"/>
          <w:lang w:val="uk-UA"/>
        </w:rPr>
        <w:t xml:space="preserve"> </w:t>
      </w:r>
      <w:r>
        <w:rPr>
          <w:rFonts w:ascii="Bookman Old Style" w:hAnsi="Bookman Old Style"/>
          <w:sz w:val="20"/>
          <w:szCs w:val="20"/>
          <w:lang w:val="en-US"/>
        </w:rPr>
        <w:t>liquidity</w:t>
      </w:r>
      <w:r w:rsidRPr="0098049A">
        <w:rPr>
          <w:rFonts w:ascii="Bookman Old Style" w:hAnsi="Bookman Old Style"/>
          <w:sz w:val="20"/>
          <w:szCs w:val="20"/>
          <w:lang w:val="uk-UA"/>
        </w:rPr>
        <w:t xml:space="preserve"> </w:t>
      </w:r>
      <w:r>
        <w:rPr>
          <w:rFonts w:ascii="Bookman Old Style" w:hAnsi="Bookman Old Style"/>
          <w:sz w:val="20"/>
          <w:szCs w:val="20"/>
          <w:lang w:val="en-US"/>
        </w:rPr>
        <w:t>ratio</w:t>
      </w:r>
      <w:r w:rsidRPr="0098049A">
        <w:rPr>
          <w:rFonts w:ascii="Bookman Old Style" w:hAnsi="Bookman Old Style"/>
          <w:sz w:val="20"/>
          <w:szCs w:val="20"/>
          <w:lang w:val="uk-UA"/>
        </w:rPr>
        <w:t xml:space="preserve"> (</w:t>
      </w:r>
      <w:r>
        <w:rPr>
          <w:rFonts w:ascii="Bookman Old Style" w:hAnsi="Bookman Old Style"/>
          <w:sz w:val="20"/>
          <w:szCs w:val="20"/>
          <w:lang w:val="en-US"/>
        </w:rPr>
        <w:t>N</w:t>
      </w:r>
      <w:r w:rsidRPr="0098049A">
        <w:rPr>
          <w:rFonts w:ascii="Bookman Old Style" w:hAnsi="Bookman Old Style"/>
          <w:sz w:val="20"/>
          <w:szCs w:val="20"/>
          <w:lang w:val="uk-UA"/>
        </w:rPr>
        <w:t xml:space="preserve">4) </w:t>
      </w:r>
      <w:r>
        <w:rPr>
          <w:rFonts w:ascii="Bookman Old Style" w:hAnsi="Bookman Old Style"/>
          <w:sz w:val="20"/>
          <w:szCs w:val="20"/>
          <w:lang w:val="en-US"/>
        </w:rPr>
        <w:t>has</w:t>
      </w:r>
      <w:r w:rsidRPr="0098049A">
        <w:rPr>
          <w:rFonts w:ascii="Bookman Old Style" w:hAnsi="Bookman Old Style"/>
          <w:sz w:val="20"/>
          <w:szCs w:val="20"/>
          <w:lang w:val="uk-UA"/>
        </w:rPr>
        <w:t xml:space="preserve"> </w:t>
      </w:r>
      <w:r>
        <w:rPr>
          <w:rFonts w:ascii="Bookman Old Style" w:hAnsi="Bookman Old Style"/>
          <w:sz w:val="20"/>
          <w:szCs w:val="20"/>
          <w:lang w:val="en-US"/>
        </w:rPr>
        <w:t>increased</w:t>
      </w:r>
      <w:r w:rsidRPr="00C13ADE">
        <w:rPr>
          <w:rFonts w:ascii="Bookman Old Style" w:hAnsi="Bookman Old Style"/>
          <w:sz w:val="20"/>
          <w:szCs w:val="20"/>
          <w:lang w:val="uk-UA"/>
        </w:rPr>
        <w:t xml:space="preserve"> </w:t>
      </w:r>
      <w:r>
        <w:rPr>
          <w:rFonts w:ascii="Bookman Old Style" w:hAnsi="Bookman Old Style"/>
          <w:sz w:val="20"/>
          <w:szCs w:val="20"/>
          <w:lang w:val="en-US"/>
        </w:rPr>
        <w:t>from</w:t>
      </w:r>
      <w:r w:rsidRPr="00C13ADE">
        <w:rPr>
          <w:rFonts w:ascii="Bookman Old Style" w:hAnsi="Bookman Old Style"/>
          <w:sz w:val="20"/>
          <w:szCs w:val="20"/>
          <w:lang w:val="uk-UA"/>
        </w:rPr>
        <w:t xml:space="preserve"> </w:t>
      </w:r>
      <w:r w:rsidR="00BF54E1" w:rsidRPr="00AF79C9">
        <w:rPr>
          <w:rFonts w:ascii="Bookman Old Style" w:hAnsi="Bookman Old Style" w:cs="Arial CYR"/>
          <w:sz w:val="20"/>
          <w:szCs w:val="20"/>
          <w:lang w:val="uk-UA"/>
        </w:rPr>
        <w:t>32,47</w:t>
      </w:r>
      <w:r w:rsidR="003E7B7F" w:rsidRPr="00AF79C9">
        <w:rPr>
          <w:rFonts w:ascii="Bookman Old Style" w:hAnsi="Bookman Old Style" w:cs="Arial CYR"/>
          <w:sz w:val="20"/>
          <w:szCs w:val="20"/>
          <w:lang w:val="uk-UA"/>
        </w:rPr>
        <w:t xml:space="preserve">% </w:t>
      </w:r>
      <w:r>
        <w:rPr>
          <w:rFonts w:ascii="Bookman Old Style" w:hAnsi="Bookman Old Style" w:cs="Arial CYR"/>
          <w:sz w:val="20"/>
          <w:szCs w:val="20"/>
          <w:lang w:val="en-US"/>
        </w:rPr>
        <w:t>up to</w:t>
      </w:r>
      <w:r w:rsidR="0079485A" w:rsidRPr="00AF79C9">
        <w:rPr>
          <w:rFonts w:ascii="Bookman Old Style" w:hAnsi="Bookman Old Style"/>
          <w:sz w:val="20"/>
          <w:szCs w:val="20"/>
          <w:lang w:val="uk-UA"/>
        </w:rPr>
        <w:t xml:space="preserve"> </w:t>
      </w:r>
      <w:r w:rsidR="00447825" w:rsidRPr="00AF79C9">
        <w:rPr>
          <w:rFonts w:ascii="Bookman Old Style" w:hAnsi="Bookman Old Style"/>
          <w:sz w:val="20"/>
          <w:szCs w:val="20"/>
          <w:lang w:val="uk-UA"/>
        </w:rPr>
        <w:t>38,37</w:t>
      </w:r>
      <w:r w:rsidR="003E7B7F" w:rsidRPr="00AF79C9">
        <w:rPr>
          <w:rFonts w:ascii="Bookman Old Style" w:hAnsi="Bookman Old Style"/>
          <w:sz w:val="20"/>
          <w:szCs w:val="20"/>
          <w:lang w:val="uk-UA"/>
        </w:rPr>
        <w:t>%</w:t>
      </w:r>
      <w:r w:rsidR="0079485A" w:rsidRPr="00AF79C9">
        <w:rPr>
          <w:rFonts w:ascii="Bookman Old Style" w:hAnsi="Bookman Old Style"/>
          <w:sz w:val="20"/>
          <w:szCs w:val="20"/>
          <w:lang w:val="uk-UA"/>
        </w:rPr>
        <w:t>;</w:t>
      </w:r>
    </w:p>
    <w:p w14:paraId="2A13877D" w14:textId="6299A84E" w:rsidR="0079485A" w:rsidRPr="00AF79C9" w:rsidRDefault="00C13ADE" w:rsidP="0079485A">
      <w:pPr>
        <w:numPr>
          <w:ilvl w:val="0"/>
          <w:numId w:val="11"/>
        </w:numPr>
        <w:jc w:val="both"/>
        <w:rPr>
          <w:rFonts w:ascii="Bookman Old Style" w:hAnsi="Bookman Old Style"/>
          <w:sz w:val="20"/>
          <w:szCs w:val="20"/>
          <w:lang w:val="uk-UA"/>
        </w:rPr>
      </w:pPr>
      <w:r>
        <w:rPr>
          <w:rFonts w:ascii="Bookman Old Style" w:hAnsi="Bookman Old Style"/>
          <w:sz w:val="20"/>
          <w:szCs w:val="20"/>
          <w:lang w:val="en-US"/>
        </w:rPr>
        <w:t>Current</w:t>
      </w:r>
      <w:r w:rsidRPr="0098049A">
        <w:rPr>
          <w:rFonts w:ascii="Bookman Old Style" w:hAnsi="Bookman Old Style"/>
          <w:sz w:val="20"/>
          <w:szCs w:val="20"/>
          <w:lang w:val="uk-UA"/>
        </w:rPr>
        <w:t xml:space="preserve"> </w:t>
      </w:r>
      <w:r>
        <w:rPr>
          <w:rFonts w:ascii="Bookman Old Style" w:hAnsi="Bookman Old Style"/>
          <w:sz w:val="20"/>
          <w:szCs w:val="20"/>
          <w:lang w:val="en-US"/>
        </w:rPr>
        <w:t>liquidity</w:t>
      </w:r>
      <w:r w:rsidRPr="0098049A">
        <w:rPr>
          <w:rFonts w:ascii="Bookman Old Style" w:hAnsi="Bookman Old Style"/>
          <w:sz w:val="20"/>
          <w:szCs w:val="20"/>
          <w:lang w:val="uk-UA"/>
        </w:rPr>
        <w:t xml:space="preserve"> </w:t>
      </w:r>
      <w:r>
        <w:rPr>
          <w:rFonts w:ascii="Bookman Old Style" w:hAnsi="Bookman Old Style"/>
          <w:sz w:val="20"/>
          <w:szCs w:val="20"/>
          <w:lang w:val="en-US"/>
        </w:rPr>
        <w:t>ratio</w:t>
      </w:r>
      <w:r w:rsidRPr="0098049A">
        <w:rPr>
          <w:rFonts w:ascii="Bookman Old Style" w:hAnsi="Bookman Old Style"/>
          <w:sz w:val="20"/>
          <w:szCs w:val="20"/>
          <w:lang w:val="uk-UA"/>
        </w:rPr>
        <w:t xml:space="preserve"> (</w:t>
      </w:r>
      <w:r>
        <w:rPr>
          <w:rFonts w:ascii="Bookman Old Style" w:hAnsi="Bookman Old Style"/>
          <w:sz w:val="20"/>
          <w:szCs w:val="20"/>
          <w:lang w:val="en-US"/>
        </w:rPr>
        <w:t>N</w:t>
      </w:r>
      <w:r w:rsidRPr="0098049A">
        <w:rPr>
          <w:rFonts w:ascii="Bookman Old Style" w:hAnsi="Bookman Old Style"/>
          <w:sz w:val="20"/>
          <w:szCs w:val="20"/>
          <w:lang w:val="uk-UA"/>
        </w:rPr>
        <w:t xml:space="preserve">5) </w:t>
      </w:r>
      <w:r>
        <w:rPr>
          <w:rFonts w:ascii="Bookman Old Style" w:hAnsi="Bookman Old Style"/>
          <w:sz w:val="20"/>
          <w:szCs w:val="20"/>
          <w:lang w:val="en-US"/>
        </w:rPr>
        <w:t>has</w:t>
      </w:r>
      <w:r w:rsidRPr="0098049A">
        <w:rPr>
          <w:rFonts w:ascii="Bookman Old Style" w:hAnsi="Bookman Old Style"/>
          <w:sz w:val="20"/>
          <w:szCs w:val="20"/>
          <w:lang w:val="uk-UA"/>
        </w:rPr>
        <w:t xml:space="preserve"> </w:t>
      </w:r>
      <w:r>
        <w:rPr>
          <w:rFonts w:ascii="Bookman Old Style" w:hAnsi="Bookman Old Style"/>
          <w:sz w:val="20"/>
          <w:szCs w:val="20"/>
          <w:lang w:val="en-US"/>
        </w:rPr>
        <w:t>decreased</w:t>
      </w:r>
      <w:r w:rsidRPr="00C13ADE">
        <w:rPr>
          <w:rFonts w:ascii="Bookman Old Style" w:hAnsi="Bookman Old Style"/>
          <w:sz w:val="20"/>
          <w:szCs w:val="20"/>
          <w:lang w:val="uk-UA"/>
        </w:rPr>
        <w:t xml:space="preserve"> </w:t>
      </w:r>
      <w:r>
        <w:rPr>
          <w:rFonts w:ascii="Bookman Old Style" w:hAnsi="Bookman Old Style"/>
          <w:sz w:val="20"/>
          <w:szCs w:val="20"/>
          <w:lang w:val="en-US"/>
        </w:rPr>
        <w:t>from</w:t>
      </w:r>
      <w:r w:rsidRPr="00C13ADE">
        <w:rPr>
          <w:rFonts w:ascii="Bookman Old Style" w:hAnsi="Bookman Old Style"/>
          <w:sz w:val="20"/>
          <w:szCs w:val="20"/>
          <w:lang w:val="uk-UA"/>
        </w:rPr>
        <w:t xml:space="preserve"> </w:t>
      </w:r>
      <w:r w:rsidR="00BF54E1" w:rsidRPr="00AF79C9">
        <w:rPr>
          <w:rFonts w:ascii="Bookman Old Style" w:hAnsi="Bookman Old Style" w:cs="Arial CYR"/>
          <w:sz w:val="20"/>
          <w:szCs w:val="20"/>
          <w:lang w:val="uk-UA"/>
        </w:rPr>
        <w:t>155,54</w:t>
      </w:r>
      <w:r w:rsidR="00DB2338" w:rsidRPr="00AF79C9">
        <w:rPr>
          <w:rFonts w:ascii="Bookman Old Style" w:hAnsi="Bookman Old Style" w:cs="Arial CYR"/>
          <w:sz w:val="20"/>
          <w:szCs w:val="20"/>
          <w:lang w:val="uk-UA"/>
        </w:rPr>
        <w:t>%</w:t>
      </w:r>
      <w:r>
        <w:rPr>
          <w:rFonts w:ascii="Bookman Old Style" w:hAnsi="Bookman Old Style" w:cs="Arial CYR"/>
          <w:sz w:val="20"/>
          <w:szCs w:val="20"/>
          <w:lang w:val="uk-UA"/>
        </w:rPr>
        <w:t xml:space="preserve"> </w:t>
      </w:r>
      <w:r>
        <w:rPr>
          <w:rFonts w:ascii="Bookman Old Style" w:hAnsi="Bookman Old Style" w:cs="Arial CYR"/>
          <w:sz w:val="20"/>
          <w:szCs w:val="20"/>
          <w:lang w:val="en-US"/>
        </w:rPr>
        <w:t>down to</w:t>
      </w:r>
      <w:r w:rsidR="003E7B7F" w:rsidRPr="00AF79C9">
        <w:rPr>
          <w:rFonts w:ascii="Bookman Old Style" w:hAnsi="Bookman Old Style" w:cs="Arial CYR"/>
          <w:sz w:val="20"/>
          <w:szCs w:val="20"/>
          <w:lang w:val="uk-UA"/>
        </w:rPr>
        <w:t xml:space="preserve"> </w:t>
      </w:r>
      <w:r w:rsidR="00BF54E1" w:rsidRPr="00AF79C9">
        <w:rPr>
          <w:rFonts w:ascii="Bookman Old Style" w:hAnsi="Bookman Old Style"/>
          <w:sz w:val="20"/>
          <w:szCs w:val="20"/>
          <w:lang w:val="uk-UA"/>
        </w:rPr>
        <w:t>14</w:t>
      </w:r>
      <w:r w:rsidR="00447825" w:rsidRPr="00AF79C9">
        <w:rPr>
          <w:rFonts w:ascii="Bookman Old Style" w:hAnsi="Bookman Old Style"/>
          <w:sz w:val="20"/>
          <w:szCs w:val="20"/>
          <w:lang w:val="uk-UA"/>
        </w:rPr>
        <w:t>7</w:t>
      </w:r>
      <w:r w:rsidR="00BF54E1" w:rsidRPr="00AF79C9">
        <w:rPr>
          <w:rFonts w:ascii="Bookman Old Style" w:hAnsi="Bookman Old Style"/>
          <w:sz w:val="20"/>
          <w:szCs w:val="20"/>
          <w:lang w:val="uk-UA"/>
        </w:rPr>
        <w:t>,</w:t>
      </w:r>
      <w:r w:rsidR="00447825" w:rsidRPr="00AF79C9">
        <w:rPr>
          <w:rFonts w:ascii="Bookman Old Style" w:hAnsi="Bookman Old Style"/>
          <w:sz w:val="20"/>
          <w:szCs w:val="20"/>
          <w:lang w:val="uk-UA"/>
        </w:rPr>
        <w:t>4</w:t>
      </w:r>
      <w:r w:rsidR="00BF54E1" w:rsidRPr="00AF79C9">
        <w:rPr>
          <w:rFonts w:ascii="Bookman Old Style" w:hAnsi="Bookman Old Style"/>
          <w:sz w:val="20"/>
          <w:szCs w:val="20"/>
          <w:lang w:val="uk-UA"/>
        </w:rPr>
        <w:t>4</w:t>
      </w:r>
      <w:r w:rsidR="003E7B7F" w:rsidRPr="00AF79C9">
        <w:rPr>
          <w:rFonts w:ascii="Bookman Old Style" w:hAnsi="Bookman Old Style"/>
          <w:sz w:val="20"/>
          <w:szCs w:val="20"/>
          <w:lang w:val="uk-UA"/>
        </w:rPr>
        <w:t>%</w:t>
      </w:r>
      <w:r w:rsidR="0079485A" w:rsidRPr="00AF79C9">
        <w:rPr>
          <w:rFonts w:ascii="Bookman Old Style" w:hAnsi="Bookman Old Style"/>
          <w:sz w:val="20"/>
          <w:szCs w:val="20"/>
          <w:lang w:val="uk-UA"/>
        </w:rPr>
        <w:t>;</w:t>
      </w:r>
    </w:p>
    <w:p w14:paraId="4A417CA8" w14:textId="5E0679DF" w:rsidR="0079485A" w:rsidRPr="00AF79C9" w:rsidRDefault="002E424A" w:rsidP="0079485A">
      <w:pPr>
        <w:numPr>
          <w:ilvl w:val="0"/>
          <w:numId w:val="11"/>
        </w:numPr>
        <w:jc w:val="both"/>
        <w:rPr>
          <w:rFonts w:ascii="Bookman Old Style" w:hAnsi="Bookman Old Style"/>
          <w:sz w:val="20"/>
          <w:szCs w:val="20"/>
          <w:lang w:val="uk-UA"/>
        </w:rPr>
      </w:pPr>
      <w:r>
        <w:rPr>
          <w:rFonts w:ascii="Bookman Old Style" w:hAnsi="Bookman Old Style"/>
          <w:sz w:val="20"/>
          <w:szCs w:val="20"/>
          <w:lang w:val="en-US"/>
        </w:rPr>
        <w:t>Short</w:t>
      </w:r>
      <w:r w:rsidRPr="0098049A">
        <w:rPr>
          <w:rFonts w:ascii="Bookman Old Style" w:hAnsi="Bookman Old Style"/>
          <w:sz w:val="20"/>
          <w:szCs w:val="20"/>
          <w:lang w:val="uk-UA"/>
        </w:rPr>
        <w:t>-</w:t>
      </w:r>
      <w:r>
        <w:rPr>
          <w:rFonts w:ascii="Bookman Old Style" w:hAnsi="Bookman Old Style"/>
          <w:sz w:val="20"/>
          <w:szCs w:val="20"/>
          <w:lang w:val="en-US"/>
        </w:rPr>
        <w:t>term</w:t>
      </w:r>
      <w:r w:rsidRPr="0098049A">
        <w:rPr>
          <w:rFonts w:ascii="Bookman Old Style" w:hAnsi="Bookman Old Style"/>
          <w:sz w:val="20"/>
          <w:szCs w:val="20"/>
          <w:lang w:val="uk-UA"/>
        </w:rPr>
        <w:t xml:space="preserve"> </w:t>
      </w:r>
      <w:r>
        <w:rPr>
          <w:rFonts w:ascii="Bookman Old Style" w:hAnsi="Bookman Old Style"/>
          <w:sz w:val="20"/>
          <w:szCs w:val="20"/>
          <w:lang w:val="en-US"/>
        </w:rPr>
        <w:t>liquidity</w:t>
      </w:r>
      <w:r w:rsidRPr="0098049A">
        <w:rPr>
          <w:rFonts w:ascii="Bookman Old Style" w:hAnsi="Bookman Old Style"/>
          <w:sz w:val="20"/>
          <w:szCs w:val="20"/>
          <w:lang w:val="uk-UA"/>
        </w:rPr>
        <w:t xml:space="preserve"> </w:t>
      </w:r>
      <w:r>
        <w:rPr>
          <w:rFonts w:ascii="Bookman Old Style" w:hAnsi="Bookman Old Style"/>
          <w:sz w:val="20"/>
          <w:szCs w:val="20"/>
          <w:lang w:val="en-US"/>
        </w:rPr>
        <w:t>ratio</w:t>
      </w:r>
      <w:r w:rsidRPr="0098049A">
        <w:rPr>
          <w:rFonts w:ascii="Bookman Old Style" w:hAnsi="Bookman Old Style"/>
          <w:sz w:val="20"/>
          <w:szCs w:val="20"/>
          <w:lang w:val="uk-UA"/>
        </w:rPr>
        <w:t xml:space="preserve"> (</w:t>
      </w:r>
      <w:r>
        <w:rPr>
          <w:rFonts w:ascii="Bookman Old Style" w:hAnsi="Bookman Old Style"/>
          <w:sz w:val="20"/>
          <w:szCs w:val="20"/>
          <w:lang w:val="en-US"/>
        </w:rPr>
        <w:t>N</w:t>
      </w:r>
      <w:r w:rsidRPr="0098049A">
        <w:rPr>
          <w:rFonts w:ascii="Bookman Old Style" w:hAnsi="Bookman Old Style"/>
          <w:sz w:val="20"/>
          <w:szCs w:val="20"/>
          <w:lang w:val="uk-UA"/>
        </w:rPr>
        <w:t xml:space="preserve">6) </w:t>
      </w:r>
      <w:r>
        <w:rPr>
          <w:rFonts w:ascii="Bookman Old Style" w:hAnsi="Bookman Old Style"/>
          <w:sz w:val="20"/>
          <w:szCs w:val="20"/>
          <w:lang w:val="en-US"/>
        </w:rPr>
        <w:t>has</w:t>
      </w:r>
      <w:r w:rsidRPr="00AF79C9">
        <w:rPr>
          <w:rFonts w:ascii="Bookman Old Style" w:hAnsi="Bookman Old Style"/>
          <w:sz w:val="20"/>
          <w:szCs w:val="20"/>
          <w:lang w:val="uk-UA"/>
        </w:rPr>
        <w:t xml:space="preserve"> </w:t>
      </w:r>
      <w:r>
        <w:rPr>
          <w:rFonts w:ascii="Bookman Old Style" w:hAnsi="Bookman Old Style"/>
          <w:sz w:val="20"/>
          <w:szCs w:val="20"/>
          <w:lang w:val="en-US"/>
        </w:rPr>
        <w:t>grown</w:t>
      </w:r>
      <w:r w:rsidRPr="002E424A">
        <w:rPr>
          <w:rFonts w:ascii="Bookman Old Style" w:hAnsi="Bookman Old Style"/>
          <w:sz w:val="20"/>
          <w:szCs w:val="20"/>
          <w:lang w:val="uk-UA"/>
        </w:rPr>
        <w:t xml:space="preserve"> </w:t>
      </w:r>
      <w:r>
        <w:rPr>
          <w:rFonts w:ascii="Bookman Old Style" w:hAnsi="Bookman Old Style"/>
          <w:sz w:val="20"/>
          <w:szCs w:val="20"/>
          <w:lang w:val="en-US"/>
        </w:rPr>
        <w:t>from</w:t>
      </w:r>
      <w:r w:rsidRPr="002E424A">
        <w:rPr>
          <w:rFonts w:ascii="Bookman Old Style" w:hAnsi="Bookman Old Style"/>
          <w:sz w:val="20"/>
          <w:szCs w:val="20"/>
          <w:lang w:val="uk-UA"/>
        </w:rPr>
        <w:t xml:space="preserve"> </w:t>
      </w:r>
      <w:r w:rsidR="00BF54E1" w:rsidRPr="00AF79C9">
        <w:rPr>
          <w:rFonts w:ascii="Bookman Old Style" w:hAnsi="Bookman Old Style" w:cs="Arial CYR"/>
          <w:sz w:val="20"/>
          <w:szCs w:val="20"/>
          <w:lang w:val="uk-UA"/>
        </w:rPr>
        <w:t>99</w:t>
      </w:r>
      <w:proofErr w:type="gramStart"/>
      <w:r w:rsidR="00BF54E1" w:rsidRPr="00AF79C9">
        <w:rPr>
          <w:rFonts w:ascii="Bookman Old Style" w:hAnsi="Bookman Old Style" w:cs="Arial CYR"/>
          <w:sz w:val="20"/>
          <w:szCs w:val="20"/>
          <w:lang w:val="uk-UA"/>
        </w:rPr>
        <w:t>,76</w:t>
      </w:r>
      <w:proofErr w:type="gramEnd"/>
      <w:r w:rsidR="003E7B7F" w:rsidRPr="00AF79C9">
        <w:rPr>
          <w:rFonts w:ascii="Bookman Old Style" w:hAnsi="Bookman Old Style" w:cs="Arial CYR"/>
          <w:sz w:val="20"/>
          <w:szCs w:val="20"/>
          <w:lang w:val="uk-UA"/>
        </w:rPr>
        <w:t xml:space="preserve">% </w:t>
      </w:r>
      <w:r>
        <w:rPr>
          <w:rFonts w:ascii="Bookman Old Style" w:hAnsi="Bookman Old Style" w:cs="Arial CYR"/>
          <w:sz w:val="20"/>
          <w:szCs w:val="20"/>
          <w:lang w:val="en-US"/>
        </w:rPr>
        <w:t>up to</w:t>
      </w:r>
      <w:r w:rsidR="0079485A" w:rsidRPr="00AF79C9">
        <w:rPr>
          <w:rFonts w:ascii="Bookman Old Style" w:hAnsi="Bookman Old Style"/>
          <w:sz w:val="20"/>
          <w:szCs w:val="20"/>
          <w:lang w:val="uk-UA"/>
        </w:rPr>
        <w:t xml:space="preserve"> </w:t>
      </w:r>
      <w:r w:rsidR="00447825" w:rsidRPr="00AF79C9">
        <w:rPr>
          <w:rFonts w:ascii="Bookman Old Style" w:hAnsi="Bookman Old Style"/>
          <w:sz w:val="20"/>
          <w:szCs w:val="20"/>
          <w:lang w:val="uk-UA"/>
        </w:rPr>
        <w:t>100,19</w:t>
      </w:r>
      <w:r w:rsidR="003E7B7F" w:rsidRPr="00AF79C9">
        <w:rPr>
          <w:rFonts w:ascii="Bookman Old Style" w:hAnsi="Bookman Old Style"/>
          <w:sz w:val="20"/>
          <w:szCs w:val="20"/>
          <w:lang w:val="uk-UA"/>
        </w:rPr>
        <w:t>%</w:t>
      </w:r>
      <w:r w:rsidR="0079485A" w:rsidRPr="00AF79C9">
        <w:rPr>
          <w:rFonts w:ascii="Bookman Old Style" w:hAnsi="Bookman Old Style"/>
          <w:sz w:val="20"/>
          <w:szCs w:val="20"/>
          <w:lang w:val="uk-UA"/>
        </w:rPr>
        <w:t>.</w:t>
      </w:r>
    </w:p>
    <w:p w14:paraId="4D58265A" w14:textId="77777777" w:rsidR="00654CE5" w:rsidRPr="00AF79C9" w:rsidRDefault="00654CE5" w:rsidP="006A35B2">
      <w:pPr>
        <w:jc w:val="right"/>
        <w:rPr>
          <w:rFonts w:ascii="Bookman Old Style" w:hAnsi="Bookman Old Style"/>
          <w:sz w:val="20"/>
          <w:szCs w:val="20"/>
          <w:lang w:val="uk-UA"/>
        </w:rPr>
      </w:pPr>
    </w:p>
    <w:p w14:paraId="49C4250F" w14:textId="38BCE8D6" w:rsidR="00BF54E1" w:rsidRPr="00AF79C9" w:rsidRDefault="00BF54E1" w:rsidP="006A35B2">
      <w:pPr>
        <w:jc w:val="right"/>
        <w:rPr>
          <w:rFonts w:ascii="Bookman Old Style" w:hAnsi="Bookman Old Style"/>
          <w:sz w:val="20"/>
          <w:szCs w:val="20"/>
          <w:lang w:val="uk-UA"/>
        </w:rPr>
      </w:pPr>
    </w:p>
    <w:p w14:paraId="423D22F3" w14:textId="3E728983" w:rsidR="00B23BA8" w:rsidRPr="00AF79C9" w:rsidRDefault="00B23BA8" w:rsidP="006A35B2">
      <w:pPr>
        <w:jc w:val="right"/>
        <w:rPr>
          <w:rFonts w:ascii="Bookman Old Style" w:hAnsi="Bookman Old Style"/>
          <w:sz w:val="20"/>
          <w:szCs w:val="20"/>
          <w:lang w:val="uk-UA"/>
        </w:rPr>
      </w:pPr>
    </w:p>
    <w:p w14:paraId="49B19A6D" w14:textId="77777777" w:rsidR="00B23BA8" w:rsidRPr="00AF79C9" w:rsidRDefault="00B23BA8" w:rsidP="006A35B2">
      <w:pPr>
        <w:jc w:val="right"/>
        <w:rPr>
          <w:rFonts w:ascii="Bookman Old Style" w:hAnsi="Bookman Old Style"/>
          <w:sz w:val="20"/>
          <w:szCs w:val="20"/>
          <w:lang w:val="uk-UA"/>
        </w:rPr>
      </w:pPr>
    </w:p>
    <w:p w14:paraId="4AAD374E" w14:textId="77777777" w:rsidR="00AF40F3" w:rsidRDefault="00AF40F3" w:rsidP="0099357B">
      <w:pPr>
        <w:rPr>
          <w:rFonts w:ascii="Bookman Old Style" w:hAnsi="Bookman Old Style"/>
          <w:sz w:val="20"/>
          <w:szCs w:val="20"/>
          <w:lang w:val="en-US"/>
        </w:rPr>
      </w:pPr>
      <w:bookmarkStart w:id="0" w:name="_GoBack"/>
      <w:bookmarkEnd w:id="0"/>
    </w:p>
    <w:p w14:paraId="04CE8C8A" w14:textId="5667F6F1" w:rsidR="006A35B2" w:rsidRPr="00AF79C9" w:rsidRDefault="00CF31BB" w:rsidP="006A35B2">
      <w:pPr>
        <w:jc w:val="right"/>
        <w:rPr>
          <w:rFonts w:ascii="Bookman Old Style" w:hAnsi="Bookman Old Style"/>
          <w:sz w:val="20"/>
          <w:szCs w:val="20"/>
          <w:lang w:val="uk-UA"/>
        </w:rPr>
      </w:pPr>
      <w:r>
        <w:rPr>
          <w:rFonts w:ascii="Bookman Old Style" w:hAnsi="Bookman Old Style"/>
          <w:sz w:val="20"/>
          <w:szCs w:val="20"/>
          <w:lang w:val="en-US"/>
        </w:rPr>
        <w:lastRenderedPageBreak/>
        <w:t>Table</w:t>
      </w:r>
      <w:r w:rsidR="006A35B2" w:rsidRPr="00AF79C9">
        <w:rPr>
          <w:rFonts w:ascii="Bookman Old Style" w:hAnsi="Bookman Old Style"/>
          <w:sz w:val="20"/>
          <w:szCs w:val="20"/>
          <w:lang w:val="uk-UA"/>
        </w:rPr>
        <w:t xml:space="preserve"> 2 </w:t>
      </w:r>
    </w:p>
    <w:p w14:paraId="02F246AE" w14:textId="1775C84A" w:rsidR="006A35B2" w:rsidRPr="00AF79C9" w:rsidRDefault="00EF0190" w:rsidP="006A35B2">
      <w:pPr>
        <w:jc w:val="center"/>
        <w:rPr>
          <w:rFonts w:ascii="Bookman Old Style" w:hAnsi="Bookman Old Style"/>
          <w:b/>
          <w:sz w:val="20"/>
          <w:szCs w:val="20"/>
          <w:lang w:val="uk-UA"/>
        </w:rPr>
      </w:pPr>
      <w:proofErr w:type="gramStart"/>
      <w:r>
        <w:rPr>
          <w:rFonts w:ascii="Bookman Old Style" w:hAnsi="Bookman Old Style"/>
          <w:b/>
          <w:sz w:val="20"/>
          <w:szCs w:val="20"/>
          <w:lang w:val="en-US"/>
        </w:rPr>
        <w:t>Key</w:t>
      </w:r>
      <w:r w:rsidRPr="0018196D">
        <w:rPr>
          <w:rFonts w:ascii="Bookman Old Style" w:hAnsi="Bookman Old Style"/>
          <w:b/>
          <w:sz w:val="20"/>
          <w:szCs w:val="20"/>
          <w:lang w:val="uk-UA"/>
        </w:rPr>
        <w:t xml:space="preserve"> </w:t>
      </w:r>
      <w:r>
        <w:rPr>
          <w:rFonts w:ascii="Bookman Old Style" w:hAnsi="Bookman Old Style"/>
          <w:b/>
          <w:sz w:val="20"/>
          <w:szCs w:val="20"/>
          <w:lang w:val="en-US"/>
        </w:rPr>
        <w:t>norms of</w:t>
      </w:r>
      <w:r w:rsidRPr="002F7CAA">
        <w:rPr>
          <w:rFonts w:ascii="Bookman Old Style" w:hAnsi="Bookman Old Style"/>
          <w:b/>
          <w:sz w:val="20"/>
          <w:szCs w:val="20"/>
          <w:lang w:val="en-GB"/>
        </w:rPr>
        <w:t xml:space="preserve"> </w:t>
      </w:r>
      <w:r>
        <w:rPr>
          <w:rFonts w:ascii="Bookman Old Style" w:hAnsi="Bookman Old Style"/>
          <w:b/>
          <w:sz w:val="20"/>
          <w:szCs w:val="20"/>
          <w:lang w:val="en-US"/>
        </w:rPr>
        <w:t>JSC</w:t>
      </w:r>
      <w:r>
        <w:rPr>
          <w:rFonts w:ascii="Bookman Old Style" w:hAnsi="Bookman Old Style"/>
          <w:b/>
          <w:sz w:val="20"/>
          <w:szCs w:val="20"/>
          <w:lang w:val="uk-UA"/>
        </w:rPr>
        <w:t xml:space="preserve"> «</w:t>
      </w:r>
      <w:r>
        <w:rPr>
          <w:rFonts w:ascii="Bookman Old Style" w:hAnsi="Bookman Old Style"/>
          <w:b/>
          <w:sz w:val="20"/>
          <w:szCs w:val="20"/>
          <w:lang w:val="en-US"/>
        </w:rPr>
        <w:t xml:space="preserve">CB </w:t>
      </w:r>
      <w:r>
        <w:rPr>
          <w:rFonts w:ascii="Bookman Old Style" w:hAnsi="Bookman Old Style"/>
          <w:b/>
          <w:sz w:val="20"/>
          <w:szCs w:val="20"/>
          <w:lang w:val="uk-UA"/>
        </w:rPr>
        <w:t>«</w:t>
      </w:r>
      <w:r>
        <w:rPr>
          <w:rFonts w:ascii="Bookman Old Style" w:hAnsi="Bookman Old Style"/>
          <w:b/>
          <w:sz w:val="20"/>
          <w:szCs w:val="20"/>
          <w:lang w:val="en-US"/>
        </w:rPr>
        <w:t>PRIVATBANK</w:t>
      </w:r>
      <w:r>
        <w:rPr>
          <w:rFonts w:ascii="Bookman Old Style" w:hAnsi="Bookman Old Style"/>
          <w:b/>
          <w:sz w:val="20"/>
          <w:szCs w:val="20"/>
          <w:lang w:val="uk-UA"/>
        </w:rPr>
        <w:t>»</w:t>
      </w:r>
      <w:r w:rsidRPr="00D70070">
        <w:rPr>
          <w:rFonts w:ascii="Bookman Old Style" w:hAnsi="Bookman Old Style"/>
          <w:b/>
          <w:sz w:val="20"/>
          <w:szCs w:val="20"/>
          <w:lang w:val="uk-UA"/>
        </w:rPr>
        <w:t xml:space="preserve">, </w:t>
      </w:r>
      <w:proofErr w:type="spellStart"/>
      <w:r>
        <w:rPr>
          <w:rFonts w:ascii="Bookman Old Style" w:hAnsi="Bookman Old Style"/>
          <w:b/>
          <w:sz w:val="20"/>
          <w:szCs w:val="20"/>
          <w:lang w:val="en-US"/>
        </w:rPr>
        <w:t>mln</w:t>
      </w:r>
      <w:proofErr w:type="spellEnd"/>
      <w:r w:rsidRPr="00FD0993">
        <w:rPr>
          <w:rFonts w:ascii="Bookman Old Style" w:hAnsi="Bookman Old Style"/>
          <w:b/>
          <w:sz w:val="20"/>
          <w:szCs w:val="20"/>
          <w:lang w:val="uk-UA"/>
        </w:rPr>
        <w:t>.</w:t>
      </w:r>
      <w:proofErr w:type="gramEnd"/>
      <w:r>
        <w:rPr>
          <w:rFonts w:ascii="Bookman Old Style" w:hAnsi="Bookman Old Style"/>
          <w:b/>
          <w:sz w:val="20"/>
          <w:szCs w:val="20"/>
          <w:lang w:val="en-US"/>
        </w:rPr>
        <w:t xml:space="preserve"> </w:t>
      </w:r>
      <w:proofErr w:type="gramStart"/>
      <w:r>
        <w:rPr>
          <w:rFonts w:ascii="Bookman Old Style" w:hAnsi="Bookman Old Style"/>
          <w:b/>
          <w:sz w:val="20"/>
          <w:szCs w:val="20"/>
          <w:lang w:val="en-US"/>
        </w:rPr>
        <w:t>UAH</w:t>
      </w:r>
      <w:r w:rsidRPr="00FD0993">
        <w:rPr>
          <w:rFonts w:ascii="Bookman Old Style" w:hAnsi="Bookman Old Style"/>
          <w:b/>
          <w:sz w:val="20"/>
          <w:szCs w:val="20"/>
          <w:lang w:val="uk-UA"/>
        </w:rPr>
        <w:t xml:space="preserve">, %, </w:t>
      </w:r>
      <w:proofErr w:type="spellStart"/>
      <w:r>
        <w:rPr>
          <w:rFonts w:ascii="Bookman Old Style" w:hAnsi="Bookman Old Style"/>
          <w:b/>
          <w:sz w:val="20"/>
          <w:szCs w:val="20"/>
          <w:lang w:val="en-US"/>
        </w:rPr>
        <w:t>p</w:t>
      </w:r>
      <w:r w:rsidRPr="00EF0190">
        <w:rPr>
          <w:rFonts w:ascii="Bookman Old Style" w:hAnsi="Bookman Old Style"/>
          <w:b/>
          <w:sz w:val="20"/>
          <w:szCs w:val="20"/>
          <w:lang w:val="en-US"/>
        </w:rPr>
        <w:t>.</w:t>
      </w:r>
      <w:r>
        <w:rPr>
          <w:rFonts w:ascii="Bookman Old Style" w:hAnsi="Bookman Old Style"/>
          <w:b/>
          <w:sz w:val="20"/>
          <w:szCs w:val="20"/>
          <w:lang w:val="en-US"/>
        </w:rPr>
        <w:t>p</w:t>
      </w:r>
      <w:proofErr w:type="spellEnd"/>
      <w:r w:rsidRPr="00FD0993">
        <w:rPr>
          <w:rFonts w:ascii="Bookman Old Style" w:hAnsi="Bookman Old Style"/>
          <w:b/>
          <w:sz w:val="20"/>
          <w:szCs w:val="20"/>
          <w:lang w:val="uk-UA"/>
        </w:rPr>
        <w:t>.</w:t>
      </w:r>
      <w:proofErr w:type="gramEnd"/>
      <w:r>
        <w:rPr>
          <w:rFonts w:ascii="Bookman Old Style" w:hAnsi="Bookman Old Style"/>
          <w:b/>
          <w:sz w:val="20"/>
          <w:szCs w:val="20"/>
          <w:lang w:val="en-US"/>
        </w:rPr>
        <w:t xml:space="preserve">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261"/>
        <w:gridCol w:w="1028"/>
        <w:gridCol w:w="993"/>
        <w:gridCol w:w="986"/>
        <w:gridCol w:w="993"/>
      </w:tblGrid>
      <w:tr w:rsidR="00EF0190" w:rsidRPr="00AF79C9" w14:paraId="2A4576A4" w14:textId="77777777" w:rsidTr="002210A0">
        <w:trPr>
          <w:trHeight w:val="178"/>
          <w:jc w:val="center"/>
        </w:trPr>
        <w:tc>
          <w:tcPr>
            <w:tcW w:w="4551" w:type="dxa"/>
            <w:vMerge w:val="restart"/>
            <w:shd w:val="clear" w:color="auto" w:fill="auto"/>
            <w:vAlign w:val="center"/>
            <w:hideMark/>
          </w:tcPr>
          <w:p w14:paraId="6B4D73D3" w14:textId="1BBD2F12" w:rsidR="00EF0190" w:rsidRPr="00AF79C9" w:rsidRDefault="00EF0190">
            <w:pPr>
              <w:jc w:val="center"/>
              <w:rPr>
                <w:rFonts w:ascii="Bookman Old Style" w:hAnsi="Bookman Old Style" w:cs="Calibri"/>
                <w:color w:val="000000"/>
                <w:sz w:val="16"/>
                <w:szCs w:val="16"/>
                <w:lang w:val="uk-UA"/>
              </w:rPr>
            </w:pPr>
            <w:r w:rsidRPr="009E526A">
              <w:rPr>
                <w:rFonts w:ascii="Bookman Old Style" w:hAnsi="Bookman Old Style"/>
                <w:sz w:val="16"/>
                <w:szCs w:val="16"/>
                <w:lang w:val="en-US"/>
              </w:rPr>
              <w:t>Indicator</w:t>
            </w:r>
          </w:p>
        </w:tc>
        <w:tc>
          <w:tcPr>
            <w:tcW w:w="1261" w:type="dxa"/>
            <w:vMerge w:val="restart"/>
            <w:shd w:val="clear" w:color="auto" w:fill="auto"/>
            <w:vAlign w:val="center"/>
            <w:hideMark/>
          </w:tcPr>
          <w:p w14:paraId="15614CAF" w14:textId="3E5C70BC" w:rsidR="00EF0190" w:rsidRPr="00AF79C9" w:rsidRDefault="00EF0190">
            <w:pPr>
              <w:jc w:val="center"/>
              <w:rPr>
                <w:rFonts w:ascii="Bookman Old Style" w:hAnsi="Bookman Old Style" w:cs="Calibri"/>
                <w:color w:val="000000"/>
                <w:sz w:val="16"/>
                <w:szCs w:val="16"/>
                <w:lang w:val="uk-UA"/>
              </w:rPr>
            </w:pPr>
            <w:r>
              <w:rPr>
                <w:rFonts w:ascii="Bookman Old Style" w:hAnsi="Bookman Old Style"/>
                <w:sz w:val="16"/>
                <w:szCs w:val="16"/>
                <w:lang w:val="en-US"/>
              </w:rPr>
              <w:t>Normative indicator</w:t>
            </w:r>
          </w:p>
        </w:tc>
        <w:tc>
          <w:tcPr>
            <w:tcW w:w="2021" w:type="dxa"/>
            <w:gridSpan w:val="2"/>
            <w:shd w:val="clear" w:color="auto" w:fill="auto"/>
            <w:vAlign w:val="center"/>
            <w:hideMark/>
          </w:tcPr>
          <w:p w14:paraId="50C77FC2" w14:textId="77777777" w:rsidR="00EF0190" w:rsidRPr="00AF79C9" w:rsidRDefault="00EF0190">
            <w:pPr>
              <w:jc w:val="center"/>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01.07.2018</w:t>
            </w:r>
          </w:p>
        </w:tc>
        <w:tc>
          <w:tcPr>
            <w:tcW w:w="1979" w:type="dxa"/>
            <w:gridSpan w:val="2"/>
            <w:shd w:val="clear" w:color="auto" w:fill="auto"/>
            <w:vAlign w:val="center"/>
            <w:hideMark/>
          </w:tcPr>
          <w:p w14:paraId="107D196F" w14:textId="77777777" w:rsidR="00EF0190" w:rsidRPr="00AF79C9" w:rsidRDefault="00EF0190">
            <w:pPr>
              <w:jc w:val="center"/>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01.01.2018</w:t>
            </w:r>
          </w:p>
        </w:tc>
      </w:tr>
      <w:tr w:rsidR="00EF0190" w:rsidRPr="00AF79C9" w14:paraId="4CC3ED12" w14:textId="77777777" w:rsidTr="002210A0">
        <w:trPr>
          <w:trHeight w:val="276"/>
          <w:jc w:val="center"/>
        </w:trPr>
        <w:tc>
          <w:tcPr>
            <w:tcW w:w="4551" w:type="dxa"/>
            <w:vMerge/>
            <w:vAlign w:val="center"/>
            <w:hideMark/>
          </w:tcPr>
          <w:p w14:paraId="45E537B6" w14:textId="77777777" w:rsidR="00EF0190" w:rsidRPr="00AF79C9" w:rsidRDefault="00EF0190">
            <w:pPr>
              <w:rPr>
                <w:rFonts w:ascii="Bookman Old Style" w:hAnsi="Bookman Old Style" w:cs="Calibri"/>
                <w:color w:val="000000"/>
                <w:sz w:val="16"/>
                <w:szCs w:val="16"/>
                <w:lang w:val="uk-UA"/>
              </w:rPr>
            </w:pPr>
          </w:p>
        </w:tc>
        <w:tc>
          <w:tcPr>
            <w:tcW w:w="1261" w:type="dxa"/>
            <w:vMerge/>
            <w:vAlign w:val="center"/>
            <w:hideMark/>
          </w:tcPr>
          <w:p w14:paraId="05971B8F" w14:textId="77777777" w:rsidR="00EF0190" w:rsidRPr="00AF79C9" w:rsidRDefault="00EF0190">
            <w:pPr>
              <w:rPr>
                <w:rFonts w:ascii="Bookman Old Style" w:hAnsi="Bookman Old Style" w:cs="Calibri"/>
                <w:color w:val="000000"/>
                <w:sz w:val="16"/>
                <w:szCs w:val="16"/>
                <w:lang w:val="uk-UA"/>
              </w:rPr>
            </w:pPr>
          </w:p>
        </w:tc>
        <w:tc>
          <w:tcPr>
            <w:tcW w:w="1028" w:type="dxa"/>
            <w:vMerge w:val="restart"/>
            <w:shd w:val="clear" w:color="auto" w:fill="auto"/>
            <w:vAlign w:val="center"/>
            <w:hideMark/>
          </w:tcPr>
          <w:p w14:paraId="1108F9A5" w14:textId="682A2AD7" w:rsidR="00EF0190" w:rsidRPr="00AF79C9" w:rsidRDefault="00EF0190">
            <w:pPr>
              <w:jc w:val="center"/>
              <w:rPr>
                <w:rFonts w:ascii="Bookman Old Style" w:hAnsi="Bookman Old Style" w:cs="Calibri"/>
                <w:color w:val="000000"/>
                <w:sz w:val="16"/>
                <w:szCs w:val="16"/>
                <w:lang w:val="uk-UA"/>
              </w:rPr>
            </w:pPr>
            <w:r w:rsidRPr="009E526A">
              <w:rPr>
                <w:rFonts w:ascii="Bookman Old Style" w:hAnsi="Bookman Old Style"/>
                <w:sz w:val="16"/>
                <w:szCs w:val="16"/>
                <w:lang w:val="en-US"/>
              </w:rPr>
              <w:t>on the system</w:t>
            </w:r>
          </w:p>
        </w:tc>
        <w:tc>
          <w:tcPr>
            <w:tcW w:w="993" w:type="dxa"/>
            <w:vMerge w:val="restart"/>
            <w:shd w:val="clear" w:color="auto" w:fill="auto"/>
            <w:vAlign w:val="center"/>
            <w:hideMark/>
          </w:tcPr>
          <w:p w14:paraId="205DE75D" w14:textId="6BD43557" w:rsidR="00EF0190" w:rsidRPr="00AF79C9" w:rsidRDefault="00EF0190">
            <w:pPr>
              <w:jc w:val="center"/>
              <w:rPr>
                <w:rFonts w:ascii="Bookman Old Style" w:hAnsi="Bookman Old Style" w:cs="Calibri"/>
                <w:color w:val="000000"/>
                <w:sz w:val="16"/>
                <w:szCs w:val="16"/>
                <w:lang w:val="uk-UA"/>
              </w:rPr>
            </w:pPr>
            <w:r w:rsidRPr="009E526A">
              <w:rPr>
                <w:rFonts w:ascii="Bookman Old Style" w:hAnsi="Bookman Old Style"/>
                <w:sz w:val="16"/>
                <w:szCs w:val="16"/>
                <w:lang w:val="en-US"/>
              </w:rPr>
              <w:t>bank</w:t>
            </w:r>
          </w:p>
        </w:tc>
        <w:tc>
          <w:tcPr>
            <w:tcW w:w="986" w:type="dxa"/>
            <w:vMerge w:val="restart"/>
            <w:shd w:val="clear" w:color="auto" w:fill="auto"/>
            <w:vAlign w:val="center"/>
            <w:hideMark/>
          </w:tcPr>
          <w:p w14:paraId="4D81AC02" w14:textId="5A2F6952" w:rsidR="00EF0190" w:rsidRPr="00AF79C9" w:rsidRDefault="00EF0190">
            <w:pPr>
              <w:jc w:val="center"/>
              <w:rPr>
                <w:rFonts w:ascii="Bookman Old Style" w:hAnsi="Bookman Old Style" w:cs="Calibri"/>
                <w:color w:val="000000"/>
                <w:sz w:val="16"/>
                <w:szCs w:val="16"/>
                <w:lang w:val="uk-UA"/>
              </w:rPr>
            </w:pPr>
            <w:r w:rsidRPr="009E526A">
              <w:rPr>
                <w:rFonts w:ascii="Bookman Old Style" w:hAnsi="Bookman Old Style"/>
                <w:sz w:val="16"/>
                <w:szCs w:val="16"/>
                <w:lang w:val="en-US"/>
              </w:rPr>
              <w:t>on the system</w:t>
            </w:r>
          </w:p>
        </w:tc>
        <w:tc>
          <w:tcPr>
            <w:tcW w:w="993" w:type="dxa"/>
            <w:vMerge w:val="restart"/>
            <w:shd w:val="clear" w:color="auto" w:fill="auto"/>
            <w:vAlign w:val="center"/>
            <w:hideMark/>
          </w:tcPr>
          <w:p w14:paraId="02B09EAC" w14:textId="55007C9E" w:rsidR="00EF0190" w:rsidRPr="00AF79C9" w:rsidRDefault="00EF0190">
            <w:pPr>
              <w:jc w:val="center"/>
              <w:rPr>
                <w:rFonts w:ascii="Bookman Old Style" w:hAnsi="Bookman Old Style" w:cs="Calibri"/>
                <w:color w:val="000000"/>
                <w:sz w:val="16"/>
                <w:szCs w:val="16"/>
                <w:lang w:val="uk-UA"/>
              </w:rPr>
            </w:pPr>
            <w:r w:rsidRPr="009E526A">
              <w:rPr>
                <w:rFonts w:ascii="Bookman Old Style" w:hAnsi="Bookman Old Style"/>
                <w:sz w:val="16"/>
                <w:szCs w:val="16"/>
                <w:lang w:val="en-US"/>
              </w:rPr>
              <w:t>bank</w:t>
            </w:r>
          </w:p>
        </w:tc>
      </w:tr>
      <w:tr w:rsidR="009B3A2A" w:rsidRPr="00AF79C9" w14:paraId="0390118D" w14:textId="77777777" w:rsidTr="00EF0190">
        <w:trPr>
          <w:trHeight w:val="188"/>
          <w:jc w:val="center"/>
        </w:trPr>
        <w:tc>
          <w:tcPr>
            <w:tcW w:w="4551" w:type="dxa"/>
            <w:vMerge/>
            <w:vAlign w:val="center"/>
            <w:hideMark/>
          </w:tcPr>
          <w:p w14:paraId="136ABB6A" w14:textId="77777777" w:rsidR="009B3A2A" w:rsidRPr="00AF79C9" w:rsidRDefault="009B3A2A">
            <w:pPr>
              <w:rPr>
                <w:rFonts w:ascii="Bookman Old Style" w:hAnsi="Bookman Old Style" w:cs="Calibri"/>
                <w:color w:val="000000"/>
                <w:sz w:val="16"/>
                <w:szCs w:val="16"/>
                <w:lang w:val="uk-UA"/>
              </w:rPr>
            </w:pPr>
          </w:p>
        </w:tc>
        <w:tc>
          <w:tcPr>
            <w:tcW w:w="1261" w:type="dxa"/>
            <w:vMerge/>
            <w:vAlign w:val="center"/>
            <w:hideMark/>
          </w:tcPr>
          <w:p w14:paraId="00A47CE5" w14:textId="77777777" w:rsidR="009B3A2A" w:rsidRPr="00AF79C9" w:rsidRDefault="009B3A2A">
            <w:pPr>
              <w:rPr>
                <w:rFonts w:ascii="Bookman Old Style" w:hAnsi="Bookman Old Style" w:cs="Calibri"/>
                <w:color w:val="000000"/>
                <w:sz w:val="16"/>
                <w:szCs w:val="16"/>
                <w:lang w:val="uk-UA"/>
              </w:rPr>
            </w:pPr>
          </w:p>
        </w:tc>
        <w:tc>
          <w:tcPr>
            <w:tcW w:w="1028" w:type="dxa"/>
            <w:vMerge/>
            <w:vAlign w:val="center"/>
            <w:hideMark/>
          </w:tcPr>
          <w:p w14:paraId="41581730" w14:textId="77777777" w:rsidR="009B3A2A" w:rsidRPr="00AF79C9" w:rsidRDefault="009B3A2A">
            <w:pPr>
              <w:rPr>
                <w:rFonts w:ascii="Bookman Old Style" w:hAnsi="Bookman Old Style" w:cs="Calibri"/>
                <w:color w:val="000000"/>
                <w:sz w:val="16"/>
                <w:szCs w:val="16"/>
                <w:lang w:val="uk-UA"/>
              </w:rPr>
            </w:pPr>
          </w:p>
        </w:tc>
        <w:tc>
          <w:tcPr>
            <w:tcW w:w="993" w:type="dxa"/>
            <w:vMerge/>
            <w:vAlign w:val="center"/>
            <w:hideMark/>
          </w:tcPr>
          <w:p w14:paraId="6B7E568A" w14:textId="77777777" w:rsidR="009B3A2A" w:rsidRPr="00AF79C9" w:rsidRDefault="009B3A2A">
            <w:pPr>
              <w:rPr>
                <w:rFonts w:ascii="Bookman Old Style" w:hAnsi="Bookman Old Style" w:cs="Calibri"/>
                <w:color w:val="000000"/>
                <w:sz w:val="16"/>
                <w:szCs w:val="16"/>
                <w:lang w:val="uk-UA"/>
              </w:rPr>
            </w:pPr>
          </w:p>
        </w:tc>
        <w:tc>
          <w:tcPr>
            <w:tcW w:w="986" w:type="dxa"/>
            <w:vMerge/>
            <w:vAlign w:val="center"/>
            <w:hideMark/>
          </w:tcPr>
          <w:p w14:paraId="68CAEA16" w14:textId="77777777" w:rsidR="009B3A2A" w:rsidRPr="00AF79C9" w:rsidRDefault="009B3A2A">
            <w:pPr>
              <w:rPr>
                <w:rFonts w:ascii="Bookman Old Style" w:hAnsi="Bookman Old Style" w:cs="Calibri"/>
                <w:color w:val="000000"/>
                <w:sz w:val="16"/>
                <w:szCs w:val="16"/>
                <w:lang w:val="uk-UA"/>
              </w:rPr>
            </w:pPr>
          </w:p>
        </w:tc>
        <w:tc>
          <w:tcPr>
            <w:tcW w:w="993" w:type="dxa"/>
            <w:vMerge/>
            <w:vAlign w:val="center"/>
            <w:hideMark/>
          </w:tcPr>
          <w:p w14:paraId="4B8334DE" w14:textId="77777777" w:rsidR="009B3A2A" w:rsidRPr="00AF79C9" w:rsidRDefault="009B3A2A">
            <w:pPr>
              <w:rPr>
                <w:rFonts w:ascii="Bookman Old Style" w:hAnsi="Bookman Old Style" w:cs="Calibri"/>
                <w:color w:val="000000"/>
                <w:sz w:val="16"/>
                <w:szCs w:val="16"/>
                <w:lang w:val="uk-UA"/>
              </w:rPr>
            </w:pPr>
          </w:p>
        </w:tc>
      </w:tr>
      <w:tr w:rsidR="00EF0190" w:rsidRPr="00AF79C9" w14:paraId="48569A13" w14:textId="77777777" w:rsidTr="00D42648">
        <w:trPr>
          <w:trHeight w:val="58"/>
          <w:jc w:val="center"/>
        </w:trPr>
        <w:tc>
          <w:tcPr>
            <w:tcW w:w="4551" w:type="dxa"/>
            <w:shd w:val="clear" w:color="auto" w:fill="auto"/>
            <w:hideMark/>
          </w:tcPr>
          <w:p w14:paraId="48FE0D16" w14:textId="3A973CDD" w:rsidR="00EF0190" w:rsidRPr="00AF79C9" w:rsidRDefault="00EF0190">
            <w:pPr>
              <w:rPr>
                <w:rFonts w:ascii="Bookman Old Style" w:hAnsi="Bookman Old Style" w:cs="Calibri"/>
                <w:color w:val="000000"/>
                <w:sz w:val="16"/>
                <w:szCs w:val="16"/>
                <w:lang w:val="uk-UA"/>
              </w:rPr>
            </w:pPr>
            <w:r w:rsidRPr="009E526A">
              <w:rPr>
                <w:rFonts w:ascii="Bookman Old Style" w:hAnsi="Bookman Old Style"/>
                <w:sz w:val="16"/>
                <w:szCs w:val="16"/>
                <w:lang w:val="en-GB"/>
              </w:rPr>
              <w:t xml:space="preserve">Norm of </w:t>
            </w:r>
            <w:r w:rsidRPr="009E526A">
              <w:rPr>
                <w:rFonts w:ascii="Bookman Old Style" w:hAnsi="Bookman Old Style"/>
                <w:sz w:val="16"/>
                <w:szCs w:val="16"/>
                <w:lang w:val="en-US"/>
              </w:rPr>
              <w:t>r</w:t>
            </w:r>
            <w:proofErr w:type="spellStart"/>
            <w:r w:rsidRPr="009E526A">
              <w:rPr>
                <w:rFonts w:ascii="Bookman Old Style" w:hAnsi="Bookman Old Style"/>
                <w:sz w:val="16"/>
                <w:szCs w:val="16"/>
                <w:lang w:val="en-GB"/>
              </w:rPr>
              <w:t>egulatory</w:t>
            </w:r>
            <w:proofErr w:type="spellEnd"/>
            <w:r w:rsidRPr="009E526A">
              <w:rPr>
                <w:rFonts w:ascii="Bookman Old Style" w:hAnsi="Bookman Old Style"/>
                <w:sz w:val="16"/>
                <w:szCs w:val="16"/>
                <w:lang w:val="en-GB"/>
              </w:rPr>
              <w:t xml:space="preserve"> capital adequacy (</w:t>
            </w:r>
            <w:r w:rsidRPr="009E526A">
              <w:rPr>
                <w:rFonts w:ascii="Bookman Old Style" w:hAnsi="Bookman Old Style"/>
                <w:sz w:val="16"/>
                <w:szCs w:val="16"/>
                <w:lang w:val="en-US"/>
              </w:rPr>
              <w:t>N</w:t>
            </w:r>
            <w:r w:rsidRPr="009E526A">
              <w:rPr>
                <w:rFonts w:ascii="Bookman Old Style" w:hAnsi="Bookman Old Style"/>
                <w:sz w:val="16"/>
                <w:szCs w:val="16"/>
                <w:lang w:val="en-GB"/>
              </w:rPr>
              <w:t>2)</w:t>
            </w:r>
          </w:p>
        </w:tc>
        <w:tc>
          <w:tcPr>
            <w:tcW w:w="1261" w:type="dxa"/>
            <w:shd w:val="clear" w:color="auto" w:fill="auto"/>
            <w:vAlign w:val="center"/>
            <w:hideMark/>
          </w:tcPr>
          <w:p w14:paraId="5548EE0A" w14:textId="77777777" w:rsidR="00EF0190" w:rsidRPr="00AF79C9" w:rsidRDefault="00EF0190">
            <w:pPr>
              <w:jc w:val="center"/>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&gt;10%</w:t>
            </w:r>
          </w:p>
        </w:tc>
        <w:tc>
          <w:tcPr>
            <w:tcW w:w="1028" w:type="dxa"/>
            <w:shd w:val="clear" w:color="auto" w:fill="auto"/>
            <w:vAlign w:val="center"/>
            <w:hideMark/>
          </w:tcPr>
          <w:p w14:paraId="69E0E8CC"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16,44%</w:t>
            </w:r>
          </w:p>
        </w:tc>
        <w:tc>
          <w:tcPr>
            <w:tcW w:w="993" w:type="dxa"/>
            <w:shd w:val="clear" w:color="auto" w:fill="auto"/>
            <w:vAlign w:val="center"/>
            <w:hideMark/>
          </w:tcPr>
          <w:p w14:paraId="744FBAEA"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18,39%</w:t>
            </w:r>
          </w:p>
        </w:tc>
        <w:tc>
          <w:tcPr>
            <w:tcW w:w="986" w:type="dxa"/>
            <w:shd w:val="clear" w:color="auto" w:fill="auto"/>
            <w:vAlign w:val="center"/>
            <w:hideMark/>
          </w:tcPr>
          <w:p w14:paraId="31C296EC"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16,10%</w:t>
            </w:r>
          </w:p>
        </w:tc>
        <w:tc>
          <w:tcPr>
            <w:tcW w:w="993" w:type="dxa"/>
            <w:shd w:val="clear" w:color="auto" w:fill="auto"/>
            <w:vAlign w:val="center"/>
            <w:hideMark/>
          </w:tcPr>
          <w:p w14:paraId="1124B594"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17,33%</w:t>
            </w:r>
          </w:p>
        </w:tc>
      </w:tr>
      <w:tr w:rsidR="00EF0190" w:rsidRPr="00AF79C9" w14:paraId="1C72DDBF" w14:textId="77777777" w:rsidTr="00D42648">
        <w:trPr>
          <w:trHeight w:val="60"/>
          <w:jc w:val="center"/>
        </w:trPr>
        <w:tc>
          <w:tcPr>
            <w:tcW w:w="4551" w:type="dxa"/>
            <w:shd w:val="clear" w:color="auto" w:fill="auto"/>
            <w:hideMark/>
          </w:tcPr>
          <w:p w14:paraId="3D61A44B" w14:textId="39C42F9E" w:rsidR="00EF0190" w:rsidRPr="00AF79C9" w:rsidRDefault="00EF0190">
            <w:pPr>
              <w:rPr>
                <w:rFonts w:ascii="Bookman Old Style" w:hAnsi="Bookman Old Style" w:cs="Calibri"/>
                <w:color w:val="000000"/>
                <w:sz w:val="16"/>
                <w:szCs w:val="16"/>
                <w:lang w:val="uk-UA"/>
              </w:rPr>
            </w:pPr>
            <w:r w:rsidRPr="009E526A">
              <w:rPr>
                <w:rFonts w:ascii="Bookman Old Style" w:hAnsi="Bookman Old Style"/>
                <w:sz w:val="16"/>
                <w:szCs w:val="16"/>
                <w:lang w:val="en-GB"/>
              </w:rPr>
              <w:t xml:space="preserve">Norm of </w:t>
            </w:r>
            <w:r w:rsidRPr="009E526A">
              <w:rPr>
                <w:rFonts w:ascii="Bookman Old Style" w:hAnsi="Bookman Old Style"/>
                <w:sz w:val="16"/>
                <w:szCs w:val="16"/>
                <w:lang w:val="en-US"/>
              </w:rPr>
              <w:t>instant liquidity</w:t>
            </w:r>
            <w:r w:rsidRPr="009E526A">
              <w:rPr>
                <w:rFonts w:ascii="Bookman Old Style" w:hAnsi="Bookman Old Style"/>
                <w:sz w:val="16"/>
                <w:szCs w:val="16"/>
                <w:lang w:val="en-GB"/>
              </w:rPr>
              <w:t xml:space="preserve"> (</w:t>
            </w:r>
            <w:r w:rsidRPr="009E526A">
              <w:rPr>
                <w:rFonts w:ascii="Bookman Old Style" w:hAnsi="Bookman Old Style"/>
                <w:sz w:val="16"/>
                <w:szCs w:val="16"/>
                <w:lang w:val="en-US"/>
              </w:rPr>
              <w:t>N</w:t>
            </w:r>
            <w:r w:rsidRPr="009E526A">
              <w:rPr>
                <w:rFonts w:ascii="Bookman Old Style" w:hAnsi="Bookman Old Style"/>
                <w:sz w:val="16"/>
                <w:szCs w:val="16"/>
                <w:lang w:val="en-GB"/>
              </w:rPr>
              <w:t>4)</w:t>
            </w:r>
          </w:p>
        </w:tc>
        <w:tc>
          <w:tcPr>
            <w:tcW w:w="1261" w:type="dxa"/>
            <w:shd w:val="clear" w:color="auto" w:fill="auto"/>
            <w:vAlign w:val="center"/>
            <w:hideMark/>
          </w:tcPr>
          <w:p w14:paraId="65E89F78" w14:textId="77777777" w:rsidR="00EF0190" w:rsidRPr="00AF79C9" w:rsidRDefault="00EF0190">
            <w:pPr>
              <w:jc w:val="center"/>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&gt;20%</w:t>
            </w:r>
          </w:p>
        </w:tc>
        <w:tc>
          <w:tcPr>
            <w:tcW w:w="1028" w:type="dxa"/>
            <w:shd w:val="clear" w:color="000000" w:fill="FFFFFF"/>
            <w:vAlign w:val="center"/>
            <w:hideMark/>
          </w:tcPr>
          <w:p w14:paraId="283AB0B6"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56,61%</w:t>
            </w:r>
          </w:p>
        </w:tc>
        <w:tc>
          <w:tcPr>
            <w:tcW w:w="993" w:type="dxa"/>
            <w:shd w:val="clear" w:color="auto" w:fill="auto"/>
            <w:vAlign w:val="center"/>
            <w:hideMark/>
          </w:tcPr>
          <w:p w14:paraId="6E9A0218"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38,37%</w:t>
            </w:r>
          </w:p>
        </w:tc>
        <w:tc>
          <w:tcPr>
            <w:tcW w:w="986" w:type="dxa"/>
            <w:shd w:val="clear" w:color="000000" w:fill="FFFFFF"/>
            <w:vAlign w:val="center"/>
            <w:hideMark/>
          </w:tcPr>
          <w:p w14:paraId="254F339A"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55,55%</w:t>
            </w:r>
          </w:p>
        </w:tc>
        <w:tc>
          <w:tcPr>
            <w:tcW w:w="993" w:type="dxa"/>
            <w:shd w:val="clear" w:color="auto" w:fill="auto"/>
            <w:vAlign w:val="center"/>
            <w:hideMark/>
          </w:tcPr>
          <w:p w14:paraId="6A7B6F89"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32,47%</w:t>
            </w:r>
          </w:p>
        </w:tc>
      </w:tr>
      <w:tr w:rsidR="00EF0190" w:rsidRPr="00AF79C9" w14:paraId="64F4A7B9" w14:textId="77777777" w:rsidTr="00D42648">
        <w:trPr>
          <w:trHeight w:val="60"/>
          <w:jc w:val="center"/>
        </w:trPr>
        <w:tc>
          <w:tcPr>
            <w:tcW w:w="4551" w:type="dxa"/>
            <w:shd w:val="clear" w:color="auto" w:fill="auto"/>
            <w:hideMark/>
          </w:tcPr>
          <w:p w14:paraId="7DB1AF57" w14:textId="23C822DD" w:rsidR="00EF0190" w:rsidRPr="00AF79C9" w:rsidRDefault="00EF0190">
            <w:pPr>
              <w:rPr>
                <w:rFonts w:ascii="Bookman Old Style" w:hAnsi="Bookman Old Style" w:cs="Calibri"/>
                <w:color w:val="000000"/>
                <w:sz w:val="16"/>
                <w:szCs w:val="16"/>
                <w:lang w:val="uk-UA"/>
              </w:rPr>
            </w:pPr>
            <w:r w:rsidRPr="009E526A">
              <w:rPr>
                <w:rFonts w:ascii="Bookman Old Style" w:hAnsi="Bookman Old Style"/>
                <w:sz w:val="16"/>
                <w:szCs w:val="16"/>
                <w:lang w:val="en-GB"/>
              </w:rPr>
              <w:t xml:space="preserve">Norm of </w:t>
            </w:r>
            <w:r w:rsidRPr="009E526A">
              <w:rPr>
                <w:rFonts w:ascii="Bookman Old Style" w:hAnsi="Bookman Old Style"/>
                <w:sz w:val="16"/>
                <w:szCs w:val="16"/>
                <w:lang w:val="en-US"/>
              </w:rPr>
              <w:t>current liquidity</w:t>
            </w:r>
            <w:r w:rsidRPr="009E526A">
              <w:rPr>
                <w:rFonts w:ascii="Bookman Old Style" w:hAnsi="Bookman Old Style"/>
                <w:sz w:val="16"/>
                <w:szCs w:val="16"/>
                <w:lang w:val="en-GB"/>
              </w:rPr>
              <w:t xml:space="preserve"> (</w:t>
            </w:r>
            <w:r w:rsidRPr="009E526A">
              <w:rPr>
                <w:rFonts w:ascii="Bookman Old Style" w:hAnsi="Bookman Old Style"/>
                <w:sz w:val="16"/>
                <w:szCs w:val="16"/>
                <w:lang w:val="en-US"/>
              </w:rPr>
              <w:t>N</w:t>
            </w:r>
            <w:r w:rsidRPr="009E526A">
              <w:rPr>
                <w:rFonts w:ascii="Bookman Old Style" w:hAnsi="Bookman Old Style"/>
                <w:sz w:val="16"/>
                <w:szCs w:val="16"/>
                <w:lang w:val="en-GB"/>
              </w:rPr>
              <w:t>5)</w:t>
            </w:r>
          </w:p>
        </w:tc>
        <w:tc>
          <w:tcPr>
            <w:tcW w:w="1261" w:type="dxa"/>
            <w:shd w:val="clear" w:color="auto" w:fill="auto"/>
            <w:vAlign w:val="center"/>
            <w:hideMark/>
          </w:tcPr>
          <w:p w14:paraId="24A09D56" w14:textId="77777777" w:rsidR="00EF0190" w:rsidRPr="00AF79C9" w:rsidRDefault="00EF0190">
            <w:pPr>
              <w:jc w:val="center"/>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&gt;40%</w:t>
            </w:r>
          </w:p>
        </w:tc>
        <w:tc>
          <w:tcPr>
            <w:tcW w:w="1028" w:type="dxa"/>
            <w:shd w:val="clear" w:color="000000" w:fill="FFFFFF"/>
            <w:vAlign w:val="center"/>
            <w:hideMark/>
          </w:tcPr>
          <w:p w14:paraId="40C0A21E"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104,21%</w:t>
            </w:r>
          </w:p>
        </w:tc>
        <w:tc>
          <w:tcPr>
            <w:tcW w:w="993" w:type="dxa"/>
            <w:shd w:val="clear" w:color="auto" w:fill="auto"/>
            <w:vAlign w:val="center"/>
            <w:hideMark/>
          </w:tcPr>
          <w:p w14:paraId="39182361"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147,44%</w:t>
            </w:r>
          </w:p>
        </w:tc>
        <w:tc>
          <w:tcPr>
            <w:tcW w:w="986" w:type="dxa"/>
            <w:shd w:val="clear" w:color="000000" w:fill="FFFFFF"/>
            <w:vAlign w:val="center"/>
            <w:hideMark/>
          </w:tcPr>
          <w:p w14:paraId="6E1208D7"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108,08%</w:t>
            </w:r>
          </w:p>
        </w:tc>
        <w:tc>
          <w:tcPr>
            <w:tcW w:w="993" w:type="dxa"/>
            <w:shd w:val="clear" w:color="auto" w:fill="auto"/>
            <w:vAlign w:val="center"/>
            <w:hideMark/>
          </w:tcPr>
          <w:p w14:paraId="44EA20AF"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155,54%</w:t>
            </w:r>
          </w:p>
        </w:tc>
      </w:tr>
      <w:tr w:rsidR="00EF0190" w:rsidRPr="00AF79C9" w14:paraId="16D33B1A" w14:textId="77777777" w:rsidTr="00D42648">
        <w:trPr>
          <w:trHeight w:val="60"/>
          <w:jc w:val="center"/>
        </w:trPr>
        <w:tc>
          <w:tcPr>
            <w:tcW w:w="4551" w:type="dxa"/>
            <w:shd w:val="clear" w:color="auto" w:fill="auto"/>
            <w:hideMark/>
          </w:tcPr>
          <w:p w14:paraId="18D34F5B" w14:textId="01986C6B" w:rsidR="00EF0190" w:rsidRPr="00AF79C9" w:rsidRDefault="00EF0190">
            <w:pPr>
              <w:rPr>
                <w:rFonts w:ascii="Bookman Old Style" w:hAnsi="Bookman Old Style" w:cs="Calibri"/>
                <w:color w:val="000000"/>
                <w:sz w:val="16"/>
                <w:szCs w:val="16"/>
                <w:lang w:val="uk-UA"/>
              </w:rPr>
            </w:pPr>
            <w:r w:rsidRPr="009E526A">
              <w:rPr>
                <w:rFonts w:ascii="Bookman Old Style" w:hAnsi="Bookman Old Style"/>
                <w:sz w:val="16"/>
                <w:szCs w:val="16"/>
                <w:lang w:val="en-GB"/>
              </w:rPr>
              <w:t xml:space="preserve">Norm of </w:t>
            </w:r>
            <w:r w:rsidRPr="009E526A">
              <w:rPr>
                <w:rFonts w:ascii="Bookman Old Style" w:hAnsi="Bookman Old Style"/>
                <w:sz w:val="16"/>
                <w:szCs w:val="16"/>
                <w:lang w:val="en-US"/>
              </w:rPr>
              <w:t>short-term liquidity</w:t>
            </w:r>
            <w:r w:rsidRPr="009E526A">
              <w:rPr>
                <w:rFonts w:ascii="Bookman Old Style" w:hAnsi="Bookman Old Style"/>
                <w:sz w:val="16"/>
                <w:szCs w:val="16"/>
                <w:lang w:val="en-GB"/>
              </w:rPr>
              <w:t xml:space="preserve"> (</w:t>
            </w:r>
            <w:r w:rsidRPr="009E526A">
              <w:rPr>
                <w:rFonts w:ascii="Bookman Old Style" w:hAnsi="Bookman Old Style"/>
                <w:sz w:val="16"/>
                <w:szCs w:val="16"/>
                <w:lang w:val="en-US"/>
              </w:rPr>
              <w:t>N</w:t>
            </w:r>
            <w:r w:rsidRPr="009E526A">
              <w:rPr>
                <w:rFonts w:ascii="Bookman Old Style" w:hAnsi="Bookman Old Style"/>
                <w:sz w:val="16"/>
                <w:szCs w:val="16"/>
                <w:lang w:val="en-GB"/>
              </w:rPr>
              <w:t>6)</w:t>
            </w:r>
          </w:p>
        </w:tc>
        <w:tc>
          <w:tcPr>
            <w:tcW w:w="1261" w:type="dxa"/>
            <w:shd w:val="clear" w:color="auto" w:fill="auto"/>
            <w:vAlign w:val="center"/>
            <w:hideMark/>
          </w:tcPr>
          <w:p w14:paraId="7D982627" w14:textId="77777777" w:rsidR="00EF0190" w:rsidRPr="00AF79C9" w:rsidRDefault="00EF0190">
            <w:pPr>
              <w:jc w:val="center"/>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&gt;60%</w:t>
            </w:r>
          </w:p>
        </w:tc>
        <w:tc>
          <w:tcPr>
            <w:tcW w:w="1028" w:type="dxa"/>
            <w:shd w:val="clear" w:color="000000" w:fill="FFFFFF"/>
            <w:vAlign w:val="center"/>
            <w:hideMark/>
          </w:tcPr>
          <w:p w14:paraId="50FCAD0A"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94,82%</w:t>
            </w:r>
          </w:p>
        </w:tc>
        <w:tc>
          <w:tcPr>
            <w:tcW w:w="993" w:type="dxa"/>
            <w:shd w:val="clear" w:color="auto" w:fill="auto"/>
            <w:vAlign w:val="center"/>
            <w:hideMark/>
          </w:tcPr>
          <w:p w14:paraId="088730AD"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100,19%</w:t>
            </w:r>
          </w:p>
        </w:tc>
        <w:tc>
          <w:tcPr>
            <w:tcW w:w="986" w:type="dxa"/>
            <w:shd w:val="clear" w:color="000000" w:fill="FFFFFF"/>
            <w:vAlign w:val="center"/>
            <w:hideMark/>
          </w:tcPr>
          <w:p w14:paraId="456320BC"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98,37%</w:t>
            </w:r>
          </w:p>
        </w:tc>
        <w:tc>
          <w:tcPr>
            <w:tcW w:w="993" w:type="dxa"/>
            <w:shd w:val="clear" w:color="auto" w:fill="auto"/>
            <w:vAlign w:val="center"/>
            <w:hideMark/>
          </w:tcPr>
          <w:p w14:paraId="06EB9581"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99,76%</w:t>
            </w:r>
          </w:p>
        </w:tc>
      </w:tr>
      <w:tr w:rsidR="00EF0190" w:rsidRPr="00AF79C9" w14:paraId="7B078151" w14:textId="77777777" w:rsidTr="00D42648">
        <w:trPr>
          <w:trHeight w:val="58"/>
          <w:jc w:val="center"/>
        </w:trPr>
        <w:tc>
          <w:tcPr>
            <w:tcW w:w="4551" w:type="dxa"/>
            <w:shd w:val="clear" w:color="auto" w:fill="auto"/>
            <w:hideMark/>
          </w:tcPr>
          <w:p w14:paraId="408F01A1" w14:textId="13CFEC09" w:rsidR="00EF0190" w:rsidRPr="00AF79C9" w:rsidRDefault="00EF0190">
            <w:pPr>
              <w:rPr>
                <w:rFonts w:ascii="Bookman Old Style" w:hAnsi="Bookman Old Style" w:cs="Calibri"/>
                <w:color w:val="000000"/>
                <w:sz w:val="16"/>
                <w:szCs w:val="16"/>
                <w:lang w:val="uk-UA"/>
              </w:rPr>
            </w:pPr>
            <w:r w:rsidRPr="009E526A">
              <w:rPr>
                <w:rFonts w:ascii="Bookman Old Style" w:hAnsi="Bookman Old Style"/>
                <w:sz w:val="16"/>
                <w:szCs w:val="16"/>
                <w:lang w:val="en-GB"/>
              </w:rPr>
              <w:t xml:space="preserve">Norm of the maximum amount of </w:t>
            </w:r>
            <w:r w:rsidRPr="009E526A">
              <w:rPr>
                <w:rFonts w:ascii="Bookman Old Style" w:hAnsi="Bookman Old Style"/>
                <w:sz w:val="16"/>
                <w:szCs w:val="16"/>
                <w:lang w:val="en-US"/>
              </w:rPr>
              <w:t>credit risk per one counterparty</w:t>
            </w:r>
            <w:r w:rsidRPr="009E526A">
              <w:rPr>
                <w:rFonts w:ascii="Bookman Old Style" w:hAnsi="Bookman Old Style"/>
                <w:sz w:val="16"/>
                <w:szCs w:val="16"/>
                <w:lang w:val="en-GB"/>
              </w:rPr>
              <w:t xml:space="preserve"> (</w:t>
            </w:r>
            <w:r w:rsidRPr="009E526A">
              <w:rPr>
                <w:rFonts w:ascii="Bookman Old Style" w:hAnsi="Bookman Old Style"/>
                <w:sz w:val="16"/>
                <w:szCs w:val="16"/>
                <w:lang w:val="en-US"/>
              </w:rPr>
              <w:t>N</w:t>
            </w:r>
            <w:r w:rsidRPr="009E526A">
              <w:rPr>
                <w:rFonts w:ascii="Bookman Old Style" w:hAnsi="Bookman Old Style"/>
                <w:sz w:val="16"/>
                <w:szCs w:val="16"/>
                <w:lang w:val="en-GB"/>
              </w:rPr>
              <w:t>7)</w:t>
            </w:r>
          </w:p>
        </w:tc>
        <w:tc>
          <w:tcPr>
            <w:tcW w:w="1261" w:type="dxa"/>
            <w:shd w:val="clear" w:color="auto" w:fill="auto"/>
            <w:vAlign w:val="center"/>
            <w:hideMark/>
          </w:tcPr>
          <w:p w14:paraId="493E4545" w14:textId="77777777" w:rsidR="00EF0190" w:rsidRPr="00AF79C9" w:rsidRDefault="00EF0190">
            <w:pPr>
              <w:jc w:val="center"/>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&lt;25%</w:t>
            </w:r>
          </w:p>
        </w:tc>
        <w:tc>
          <w:tcPr>
            <w:tcW w:w="1028" w:type="dxa"/>
            <w:shd w:val="clear" w:color="auto" w:fill="auto"/>
            <w:vAlign w:val="center"/>
            <w:hideMark/>
          </w:tcPr>
          <w:p w14:paraId="74F4425A"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20,02%</w:t>
            </w:r>
          </w:p>
        </w:tc>
        <w:tc>
          <w:tcPr>
            <w:tcW w:w="993" w:type="dxa"/>
            <w:shd w:val="clear" w:color="auto" w:fill="auto"/>
            <w:vAlign w:val="center"/>
            <w:hideMark/>
          </w:tcPr>
          <w:p w14:paraId="59A2722D"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5,81%</w:t>
            </w:r>
          </w:p>
        </w:tc>
        <w:tc>
          <w:tcPr>
            <w:tcW w:w="986" w:type="dxa"/>
            <w:shd w:val="clear" w:color="auto" w:fill="auto"/>
            <w:vAlign w:val="center"/>
            <w:hideMark/>
          </w:tcPr>
          <w:p w14:paraId="48030F60"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20,29%</w:t>
            </w:r>
          </w:p>
        </w:tc>
        <w:tc>
          <w:tcPr>
            <w:tcW w:w="993" w:type="dxa"/>
            <w:shd w:val="clear" w:color="auto" w:fill="auto"/>
            <w:vAlign w:val="center"/>
            <w:hideMark/>
          </w:tcPr>
          <w:p w14:paraId="3871A659"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5,70%</w:t>
            </w:r>
          </w:p>
        </w:tc>
      </w:tr>
      <w:tr w:rsidR="00EF0190" w:rsidRPr="00AF79C9" w14:paraId="340F79C9" w14:textId="77777777" w:rsidTr="00D42648">
        <w:trPr>
          <w:trHeight w:val="60"/>
          <w:jc w:val="center"/>
        </w:trPr>
        <w:tc>
          <w:tcPr>
            <w:tcW w:w="4551" w:type="dxa"/>
            <w:shd w:val="clear" w:color="auto" w:fill="auto"/>
            <w:hideMark/>
          </w:tcPr>
          <w:p w14:paraId="69F8EA39" w14:textId="2A2046B2" w:rsidR="00EF0190" w:rsidRPr="00AF79C9" w:rsidRDefault="00EF0190">
            <w:pPr>
              <w:rPr>
                <w:rFonts w:ascii="Bookman Old Style" w:hAnsi="Bookman Old Style" w:cs="Calibri"/>
                <w:color w:val="000000"/>
                <w:sz w:val="16"/>
                <w:szCs w:val="16"/>
                <w:lang w:val="uk-UA"/>
              </w:rPr>
            </w:pPr>
            <w:r w:rsidRPr="009E526A">
              <w:rPr>
                <w:rFonts w:ascii="Bookman Old Style" w:hAnsi="Bookman Old Style"/>
                <w:sz w:val="16"/>
                <w:szCs w:val="16"/>
                <w:lang w:val="en-GB"/>
              </w:rPr>
              <w:t xml:space="preserve">Norm of </w:t>
            </w:r>
            <w:r w:rsidRPr="009E526A">
              <w:rPr>
                <w:rFonts w:ascii="Bookman Old Style" w:hAnsi="Bookman Old Style"/>
                <w:sz w:val="16"/>
                <w:szCs w:val="16"/>
                <w:lang w:val="en-US"/>
              </w:rPr>
              <w:t>large loan risks</w:t>
            </w:r>
            <w:r w:rsidRPr="009E526A">
              <w:rPr>
                <w:rFonts w:ascii="Bookman Old Style" w:hAnsi="Bookman Old Style"/>
                <w:sz w:val="16"/>
                <w:szCs w:val="16"/>
                <w:lang w:val="en-GB"/>
              </w:rPr>
              <w:t xml:space="preserve"> (</w:t>
            </w:r>
            <w:r w:rsidRPr="009E526A">
              <w:rPr>
                <w:rFonts w:ascii="Bookman Old Style" w:hAnsi="Bookman Old Style"/>
                <w:sz w:val="16"/>
                <w:szCs w:val="16"/>
                <w:lang w:val="en-US"/>
              </w:rPr>
              <w:t>N</w:t>
            </w:r>
            <w:r w:rsidRPr="009E526A">
              <w:rPr>
                <w:rFonts w:ascii="Bookman Old Style" w:hAnsi="Bookman Old Style"/>
                <w:sz w:val="16"/>
                <w:szCs w:val="16"/>
                <w:lang w:val="en-GB"/>
              </w:rPr>
              <w:t>8)</w:t>
            </w:r>
          </w:p>
        </w:tc>
        <w:tc>
          <w:tcPr>
            <w:tcW w:w="1261" w:type="dxa"/>
            <w:shd w:val="clear" w:color="auto" w:fill="auto"/>
            <w:vAlign w:val="center"/>
            <w:hideMark/>
          </w:tcPr>
          <w:p w14:paraId="0D3E78D5" w14:textId="77777777" w:rsidR="00EF0190" w:rsidRPr="00AF79C9" w:rsidRDefault="00EF0190">
            <w:pPr>
              <w:jc w:val="center"/>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&lt;800%</w:t>
            </w:r>
          </w:p>
        </w:tc>
        <w:tc>
          <w:tcPr>
            <w:tcW w:w="1028" w:type="dxa"/>
            <w:shd w:val="clear" w:color="000000" w:fill="FFFFFF"/>
            <w:vAlign w:val="center"/>
            <w:hideMark/>
          </w:tcPr>
          <w:p w14:paraId="30AE3AFA"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155,56%</w:t>
            </w:r>
          </w:p>
        </w:tc>
        <w:tc>
          <w:tcPr>
            <w:tcW w:w="993" w:type="dxa"/>
            <w:shd w:val="clear" w:color="auto" w:fill="auto"/>
            <w:vAlign w:val="center"/>
            <w:hideMark/>
          </w:tcPr>
          <w:p w14:paraId="27195A1F"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0,00%</w:t>
            </w:r>
          </w:p>
        </w:tc>
        <w:tc>
          <w:tcPr>
            <w:tcW w:w="986" w:type="dxa"/>
            <w:shd w:val="clear" w:color="000000" w:fill="FFFFFF"/>
            <w:vAlign w:val="center"/>
            <w:hideMark/>
          </w:tcPr>
          <w:p w14:paraId="12A30DD0"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208,31%</w:t>
            </w:r>
          </w:p>
        </w:tc>
        <w:tc>
          <w:tcPr>
            <w:tcW w:w="993" w:type="dxa"/>
            <w:shd w:val="clear" w:color="auto" w:fill="auto"/>
            <w:vAlign w:val="center"/>
            <w:hideMark/>
          </w:tcPr>
          <w:p w14:paraId="1455A108" w14:textId="77777777" w:rsidR="00EF0190" w:rsidRPr="00AF79C9" w:rsidRDefault="00EF0190">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0,00%</w:t>
            </w:r>
          </w:p>
        </w:tc>
      </w:tr>
    </w:tbl>
    <w:p w14:paraId="7773383F" w14:textId="12BF4F24" w:rsidR="006A35B2" w:rsidRPr="00AF79C9" w:rsidRDefault="008002D6" w:rsidP="006A35B2">
      <w:pPr>
        <w:jc w:val="both"/>
        <w:rPr>
          <w:rFonts w:ascii="Bookman Old Style" w:hAnsi="Bookman Old Style"/>
          <w:sz w:val="16"/>
          <w:szCs w:val="16"/>
          <w:lang w:val="uk-UA"/>
        </w:rPr>
      </w:pPr>
      <w:r>
        <w:rPr>
          <w:rFonts w:ascii="Bookman Old Style" w:hAnsi="Bookman Old Style"/>
          <w:i/>
          <w:sz w:val="16"/>
          <w:szCs w:val="16"/>
          <w:lang w:val="en-US"/>
        </w:rPr>
        <w:t>Note</w:t>
      </w:r>
      <w:r w:rsidRPr="00FD48A7">
        <w:rPr>
          <w:rFonts w:ascii="Bookman Old Style" w:hAnsi="Bookman Old Style"/>
          <w:sz w:val="16"/>
          <w:szCs w:val="16"/>
          <w:lang w:val="uk-UA"/>
        </w:rPr>
        <w:t xml:space="preserve">: </w:t>
      </w:r>
      <w:r>
        <w:rPr>
          <w:rFonts w:ascii="Bookman Old Style" w:hAnsi="Bookman Old Style"/>
          <w:sz w:val="16"/>
          <w:szCs w:val="16"/>
          <w:lang w:val="en-US"/>
        </w:rPr>
        <w:t xml:space="preserve">if there is no calculation of the normative at the first of each </w:t>
      </w:r>
      <w:proofErr w:type="gramStart"/>
      <w:r>
        <w:rPr>
          <w:rFonts w:ascii="Bookman Old Style" w:hAnsi="Bookman Old Style"/>
          <w:sz w:val="16"/>
          <w:szCs w:val="16"/>
          <w:lang w:val="en-US"/>
        </w:rPr>
        <w:t>months</w:t>
      </w:r>
      <w:proofErr w:type="gramEnd"/>
      <w:r>
        <w:rPr>
          <w:rFonts w:ascii="Bookman Old Style" w:hAnsi="Bookman Old Style"/>
          <w:sz w:val="16"/>
          <w:szCs w:val="16"/>
          <w:lang w:val="en-US"/>
        </w:rPr>
        <w:t>, the Agency provides data of the closest working day in the reported month</w:t>
      </w:r>
      <w:r w:rsidRPr="00AF79C9">
        <w:rPr>
          <w:rFonts w:ascii="Bookman Old Style" w:hAnsi="Bookman Old Style"/>
          <w:sz w:val="16"/>
          <w:szCs w:val="16"/>
          <w:lang w:val="uk-UA"/>
        </w:rPr>
        <w:t xml:space="preserve"> </w:t>
      </w:r>
    </w:p>
    <w:p w14:paraId="1A41B443" w14:textId="6E231C8F" w:rsidR="006A35B2" w:rsidRPr="00AF79C9" w:rsidRDefault="003A78AA" w:rsidP="006A35B2">
      <w:pPr>
        <w:jc w:val="both"/>
        <w:rPr>
          <w:rFonts w:ascii="Bookman Old Style" w:hAnsi="Bookman Old Style"/>
          <w:sz w:val="16"/>
          <w:szCs w:val="16"/>
          <w:lang w:val="uk-UA"/>
        </w:rPr>
      </w:pPr>
      <w:r>
        <w:rPr>
          <w:rFonts w:ascii="Bookman Old Style" w:hAnsi="Bookman Old Style"/>
          <w:i/>
          <w:sz w:val="16"/>
          <w:szCs w:val="16"/>
          <w:lang w:val="en-US"/>
        </w:rPr>
        <w:t>Source</w:t>
      </w:r>
      <w:r w:rsidRPr="00FD48A7">
        <w:rPr>
          <w:rFonts w:ascii="Bookman Old Style" w:hAnsi="Bookman Old Style"/>
          <w:i/>
          <w:sz w:val="16"/>
          <w:szCs w:val="16"/>
          <w:lang w:val="uk-UA"/>
        </w:rPr>
        <w:t>:</w:t>
      </w:r>
      <w:r w:rsidRPr="00FD48A7">
        <w:rPr>
          <w:rFonts w:ascii="Bookman Old Style" w:hAnsi="Bookman Old Style"/>
          <w:sz w:val="16"/>
          <w:szCs w:val="16"/>
          <w:lang w:val="uk-UA"/>
        </w:rPr>
        <w:t xml:space="preserve"> </w:t>
      </w:r>
      <w:r>
        <w:rPr>
          <w:rFonts w:ascii="Bookman Old Style" w:hAnsi="Bookman Old Style"/>
          <w:sz w:val="16"/>
          <w:szCs w:val="16"/>
          <w:lang w:val="en-US"/>
        </w:rPr>
        <w:t>NBU data and data of the Bank’s statistical statements</w:t>
      </w:r>
      <w:r w:rsidRPr="00AF79C9">
        <w:rPr>
          <w:rFonts w:ascii="Bookman Old Style" w:hAnsi="Bookman Old Style"/>
          <w:sz w:val="16"/>
          <w:szCs w:val="16"/>
          <w:lang w:val="uk-UA"/>
        </w:rPr>
        <w:t xml:space="preserve"> </w:t>
      </w:r>
    </w:p>
    <w:p w14:paraId="65AD2D0E" w14:textId="77777777" w:rsidR="006A35B2" w:rsidRPr="00AF79C9" w:rsidRDefault="006A35B2" w:rsidP="00F54901">
      <w:pPr>
        <w:jc w:val="both"/>
        <w:rPr>
          <w:rFonts w:ascii="Bookman Old Style" w:hAnsi="Bookman Old Style"/>
          <w:sz w:val="20"/>
          <w:szCs w:val="20"/>
          <w:lang w:val="uk-UA"/>
        </w:rPr>
      </w:pPr>
    </w:p>
    <w:p w14:paraId="3FA64D33" w14:textId="135E072C" w:rsidR="008A45DA" w:rsidRPr="00AF79C9" w:rsidRDefault="00CF7A0B" w:rsidP="00F54901">
      <w:pPr>
        <w:jc w:val="both"/>
        <w:rPr>
          <w:rFonts w:ascii="Bookman Old Style" w:hAnsi="Bookman Old Style"/>
          <w:sz w:val="20"/>
          <w:szCs w:val="20"/>
          <w:lang w:val="uk-UA"/>
        </w:rPr>
      </w:pPr>
      <w:r w:rsidRPr="00AF79C9">
        <w:rPr>
          <w:rFonts w:ascii="Bookman Old Style" w:hAnsi="Bookman Old Style"/>
          <w:sz w:val="20"/>
          <w:szCs w:val="20"/>
          <w:lang w:val="uk-UA"/>
        </w:rPr>
        <w:tab/>
      </w:r>
      <w:r w:rsidR="004573FE">
        <w:rPr>
          <w:rFonts w:ascii="Bookman Old Style" w:hAnsi="Bookman Old Style"/>
          <w:sz w:val="20"/>
          <w:szCs w:val="20"/>
          <w:lang w:val="en-US"/>
        </w:rPr>
        <w:t>Therefore</w:t>
      </w:r>
      <w:r w:rsidR="004573FE" w:rsidRPr="007E5724">
        <w:rPr>
          <w:rFonts w:ascii="Bookman Old Style" w:hAnsi="Bookman Old Style"/>
          <w:sz w:val="20"/>
          <w:szCs w:val="20"/>
          <w:lang w:val="uk-UA"/>
        </w:rPr>
        <w:t>,</w:t>
      </w:r>
      <w:r w:rsidR="004573FE">
        <w:rPr>
          <w:rFonts w:ascii="Bookman Old Style" w:hAnsi="Bookman Old Style"/>
          <w:sz w:val="20"/>
          <w:szCs w:val="20"/>
          <w:lang w:val="en-US"/>
        </w:rPr>
        <w:t xml:space="preserve"> the Bank has maintained a very good reserve of liquidity ratios. The Bank’s N5 and N6 ratios on</w:t>
      </w:r>
      <w:r w:rsidR="004573FE" w:rsidRPr="007E5724">
        <w:rPr>
          <w:rFonts w:ascii="Bookman Old Style" w:hAnsi="Bookman Old Style"/>
          <w:sz w:val="20"/>
          <w:szCs w:val="20"/>
          <w:lang w:val="uk-UA"/>
        </w:rPr>
        <w:t xml:space="preserve"> 01.0</w:t>
      </w:r>
      <w:r w:rsidR="004573FE">
        <w:rPr>
          <w:rFonts w:ascii="Bookman Old Style" w:hAnsi="Bookman Old Style"/>
          <w:sz w:val="20"/>
          <w:szCs w:val="20"/>
          <w:lang w:val="en-US"/>
        </w:rPr>
        <w:t>7</w:t>
      </w:r>
      <w:r w:rsidR="004573FE" w:rsidRPr="007E5724">
        <w:rPr>
          <w:rFonts w:ascii="Bookman Old Style" w:hAnsi="Bookman Old Style"/>
          <w:sz w:val="20"/>
          <w:szCs w:val="20"/>
          <w:lang w:val="uk-UA"/>
        </w:rPr>
        <w:t xml:space="preserve">.2018 </w:t>
      </w:r>
      <w:r w:rsidR="004573FE">
        <w:rPr>
          <w:rFonts w:ascii="Bookman Old Style" w:hAnsi="Bookman Old Style"/>
          <w:sz w:val="20"/>
          <w:szCs w:val="20"/>
          <w:lang w:val="en-US"/>
        </w:rPr>
        <w:t>have exceeded not only the limit values, set by NBU, but also the averages of these normative indicators on the Ukrainian banking system.</w:t>
      </w:r>
      <w:r w:rsidR="004573FE" w:rsidRPr="00C92C4C">
        <w:rPr>
          <w:rFonts w:ascii="Bookman Old Style" w:hAnsi="Bookman Old Style"/>
          <w:sz w:val="20"/>
          <w:szCs w:val="20"/>
          <w:lang w:val="en-US"/>
        </w:rPr>
        <w:t xml:space="preserve"> </w:t>
      </w:r>
      <w:r w:rsidR="004573FE">
        <w:rPr>
          <w:rFonts w:ascii="Bookman Old Style" w:hAnsi="Bookman Old Style"/>
          <w:sz w:val="20"/>
          <w:szCs w:val="20"/>
          <w:lang w:val="en-US"/>
        </w:rPr>
        <w:t>Besides, as of 03.09.2018 the Bank has had</w:t>
      </w:r>
      <w:r w:rsidR="004573FE">
        <w:rPr>
          <w:rFonts w:ascii="Bookman Old Style" w:hAnsi="Bookman Old Style"/>
          <w:sz w:val="20"/>
          <w:szCs w:val="20"/>
          <w:lang w:val="en-US"/>
        </w:rPr>
        <w:t xml:space="preserve"> the following</w:t>
      </w:r>
      <w:r w:rsidR="004573FE">
        <w:rPr>
          <w:rFonts w:ascii="Bookman Old Style" w:hAnsi="Bookman Old Style"/>
          <w:sz w:val="20"/>
          <w:szCs w:val="20"/>
          <w:lang w:val="en-US"/>
        </w:rPr>
        <w:t xml:space="preserve"> liquidity</w:t>
      </w:r>
      <w:r w:rsidR="004573FE">
        <w:rPr>
          <w:rFonts w:ascii="Bookman Old Style" w:hAnsi="Bookman Old Style"/>
          <w:sz w:val="20"/>
          <w:szCs w:val="20"/>
          <w:lang w:val="en-US"/>
        </w:rPr>
        <w:t xml:space="preserve"> ratios: N4</w:t>
      </w:r>
      <w:r w:rsidR="004573FE" w:rsidRPr="007E5724">
        <w:rPr>
          <w:rFonts w:ascii="Bookman Old Style" w:hAnsi="Bookman Old Style"/>
          <w:sz w:val="20"/>
          <w:szCs w:val="20"/>
          <w:lang w:val="uk-UA"/>
        </w:rPr>
        <w:t xml:space="preserve"> – </w:t>
      </w:r>
      <w:r w:rsidR="004573FE" w:rsidRPr="00AF79C9">
        <w:rPr>
          <w:rFonts w:ascii="Bookman Old Style" w:hAnsi="Bookman Old Style"/>
          <w:sz w:val="20"/>
          <w:szCs w:val="20"/>
          <w:lang w:val="uk-UA"/>
        </w:rPr>
        <w:t>38</w:t>
      </w:r>
      <w:proofErr w:type="gramStart"/>
      <w:r w:rsidR="004573FE" w:rsidRPr="00AF79C9">
        <w:rPr>
          <w:rFonts w:ascii="Bookman Old Style" w:hAnsi="Bookman Old Style"/>
          <w:sz w:val="20"/>
          <w:szCs w:val="20"/>
          <w:lang w:val="uk-UA"/>
        </w:rPr>
        <w:t>,28</w:t>
      </w:r>
      <w:proofErr w:type="gramEnd"/>
      <w:r w:rsidR="004573FE" w:rsidRPr="007E5724">
        <w:rPr>
          <w:rFonts w:ascii="Bookman Old Style" w:hAnsi="Bookman Old Style"/>
          <w:sz w:val="20"/>
          <w:szCs w:val="20"/>
          <w:lang w:val="uk-UA"/>
        </w:rPr>
        <w:t xml:space="preserve">%, </w:t>
      </w:r>
      <w:r w:rsidR="004573FE">
        <w:rPr>
          <w:rFonts w:ascii="Bookman Old Style" w:hAnsi="Bookman Old Style"/>
          <w:sz w:val="20"/>
          <w:szCs w:val="20"/>
          <w:lang w:val="en-US"/>
        </w:rPr>
        <w:t>N</w:t>
      </w:r>
      <w:r w:rsidR="004573FE" w:rsidRPr="007E5724">
        <w:rPr>
          <w:rFonts w:ascii="Bookman Old Style" w:hAnsi="Bookman Old Style"/>
          <w:sz w:val="20"/>
          <w:szCs w:val="20"/>
          <w:lang w:val="uk-UA"/>
        </w:rPr>
        <w:t xml:space="preserve">5 – </w:t>
      </w:r>
      <w:r w:rsidR="004573FE" w:rsidRPr="00AF79C9">
        <w:rPr>
          <w:rFonts w:ascii="Bookman Old Style" w:hAnsi="Bookman Old Style"/>
          <w:sz w:val="20"/>
          <w:szCs w:val="20"/>
          <w:lang w:val="uk-UA"/>
        </w:rPr>
        <w:t>146,11</w:t>
      </w:r>
      <w:r w:rsidR="004573FE" w:rsidRPr="007E5724">
        <w:rPr>
          <w:rFonts w:ascii="Bookman Old Style" w:hAnsi="Bookman Old Style"/>
          <w:sz w:val="20"/>
          <w:szCs w:val="20"/>
          <w:lang w:val="uk-UA"/>
        </w:rPr>
        <w:t xml:space="preserve">%, </w:t>
      </w:r>
      <w:r w:rsidR="004573FE">
        <w:rPr>
          <w:rFonts w:ascii="Bookman Old Style" w:hAnsi="Bookman Old Style"/>
          <w:sz w:val="20"/>
          <w:szCs w:val="20"/>
          <w:lang w:val="en-US"/>
        </w:rPr>
        <w:t>N</w:t>
      </w:r>
      <w:r w:rsidR="004573FE" w:rsidRPr="007E5724">
        <w:rPr>
          <w:rFonts w:ascii="Bookman Old Style" w:hAnsi="Bookman Old Style"/>
          <w:sz w:val="20"/>
          <w:szCs w:val="20"/>
          <w:lang w:val="uk-UA"/>
        </w:rPr>
        <w:t xml:space="preserve">6 – </w:t>
      </w:r>
      <w:r w:rsidR="004573FE" w:rsidRPr="00AF79C9">
        <w:rPr>
          <w:rFonts w:ascii="Bookman Old Style" w:hAnsi="Bookman Old Style"/>
          <w:sz w:val="20"/>
          <w:szCs w:val="20"/>
          <w:lang w:val="uk-UA"/>
        </w:rPr>
        <w:t>98,33</w:t>
      </w:r>
      <w:r w:rsidR="004573FE" w:rsidRPr="007E5724">
        <w:rPr>
          <w:rFonts w:ascii="Bookman Old Style" w:hAnsi="Bookman Old Style"/>
          <w:sz w:val="20"/>
          <w:szCs w:val="20"/>
          <w:lang w:val="uk-UA"/>
        </w:rPr>
        <w:t xml:space="preserve">%. </w:t>
      </w:r>
      <w:r w:rsidR="004573FE">
        <w:rPr>
          <w:rFonts w:ascii="Bookman Old Style" w:hAnsi="Bookman Old Style"/>
          <w:sz w:val="20"/>
          <w:szCs w:val="20"/>
          <w:lang w:val="en-US"/>
        </w:rPr>
        <w:t>Thus</w:t>
      </w:r>
      <w:r w:rsidR="004573FE" w:rsidRPr="007E5724">
        <w:rPr>
          <w:rFonts w:ascii="Bookman Old Style" w:hAnsi="Bookman Old Style"/>
          <w:sz w:val="20"/>
          <w:szCs w:val="20"/>
          <w:lang w:val="uk-UA"/>
        </w:rPr>
        <w:t>,</w:t>
      </w:r>
      <w:r w:rsidR="004573FE">
        <w:rPr>
          <w:rFonts w:ascii="Bookman Old Style" w:hAnsi="Bookman Old Style"/>
          <w:sz w:val="20"/>
          <w:szCs w:val="20"/>
          <w:lang w:val="en-US"/>
        </w:rPr>
        <w:t xml:space="preserve"> the Bank has been very well provided with liquidity throughout the 2017 year and the first </w:t>
      </w:r>
      <w:r w:rsidR="004573FE">
        <w:rPr>
          <w:rFonts w:ascii="Bookman Old Style" w:hAnsi="Bookman Old Style"/>
          <w:sz w:val="20"/>
          <w:szCs w:val="20"/>
          <w:lang w:val="en-US"/>
        </w:rPr>
        <w:t>eight</w:t>
      </w:r>
      <w:r w:rsidR="004573FE">
        <w:rPr>
          <w:rFonts w:ascii="Bookman Old Style" w:hAnsi="Bookman Old Style"/>
          <w:sz w:val="20"/>
          <w:szCs w:val="20"/>
          <w:lang w:val="en-US"/>
        </w:rPr>
        <w:t xml:space="preserve"> months of 2018.</w:t>
      </w:r>
      <w:r w:rsidR="004573FE">
        <w:rPr>
          <w:rFonts w:ascii="Bookman Old Style" w:hAnsi="Bookman Old Style"/>
          <w:sz w:val="20"/>
          <w:szCs w:val="20"/>
          <w:lang w:val="en-US"/>
        </w:rPr>
        <w:t xml:space="preserve"> </w:t>
      </w:r>
    </w:p>
    <w:p w14:paraId="69EC7292" w14:textId="77777777" w:rsidR="004F0246" w:rsidRPr="00AF79C9" w:rsidRDefault="003D1FFD" w:rsidP="00F54901">
      <w:pPr>
        <w:jc w:val="both"/>
        <w:rPr>
          <w:rFonts w:ascii="Bookman Old Style" w:hAnsi="Bookman Old Style"/>
          <w:b/>
          <w:sz w:val="20"/>
          <w:szCs w:val="20"/>
          <w:lang w:val="uk-UA"/>
        </w:rPr>
      </w:pPr>
      <w:r w:rsidRPr="00AF79C9">
        <w:rPr>
          <w:rFonts w:ascii="Bookman Old Style" w:hAnsi="Bookman Old Style"/>
          <w:b/>
          <w:sz w:val="20"/>
          <w:szCs w:val="20"/>
          <w:lang w:val="uk-UA"/>
        </w:rPr>
        <w:tab/>
      </w:r>
    </w:p>
    <w:p w14:paraId="2EF42B19" w14:textId="3EA615C9" w:rsidR="003D1FFD" w:rsidRPr="00AF79C9" w:rsidRDefault="00DE5755" w:rsidP="004F0246">
      <w:pPr>
        <w:ind w:firstLine="708"/>
        <w:jc w:val="both"/>
        <w:rPr>
          <w:rFonts w:ascii="Bookman Old Style" w:hAnsi="Bookman Old Style"/>
          <w:b/>
          <w:sz w:val="20"/>
          <w:szCs w:val="20"/>
          <w:lang w:val="uk-UA"/>
        </w:rPr>
      </w:pPr>
      <w:r>
        <w:rPr>
          <w:rFonts w:ascii="Bookman Old Style" w:hAnsi="Bookman Old Style"/>
          <w:b/>
          <w:sz w:val="20"/>
          <w:szCs w:val="20"/>
          <w:lang w:val="en-US"/>
        </w:rPr>
        <w:t>Revenues and expenses</w:t>
      </w:r>
    </w:p>
    <w:p w14:paraId="682632AD" w14:textId="2596D677" w:rsidR="009E1A0C" w:rsidRPr="00AF79C9" w:rsidRDefault="00A9376F" w:rsidP="00AB5FDC">
      <w:pPr>
        <w:ind w:firstLine="708"/>
        <w:jc w:val="both"/>
        <w:rPr>
          <w:rFonts w:ascii="Bookman Old Style" w:hAnsi="Bookman Old Style"/>
          <w:sz w:val="20"/>
          <w:szCs w:val="20"/>
          <w:lang w:val="uk-UA"/>
        </w:rPr>
      </w:pPr>
      <w:r>
        <w:rPr>
          <w:rFonts w:ascii="Bookman Old Style" w:hAnsi="Bookman Old Style"/>
          <w:sz w:val="20"/>
          <w:szCs w:val="20"/>
          <w:lang w:val="en-US"/>
        </w:rPr>
        <w:t>The Agency reminds that f</w:t>
      </w:r>
      <w:r w:rsidR="00F466AB">
        <w:rPr>
          <w:rFonts w:ascii="Bookman Old Style" w:hAnsi="Bookman Old Style"/>
          <w:sz w:val="20"/>
          <w:szCs w:val="20"/>
          <w:lang w:val="en-US"/>
        </w:rPr>
        <w:t xml:space="preserve">or the 12 months of 2017 </w:t>
      </w:r>
      <w:r>
        <w:rPr>
          <w:rFonts w:ascii="Bookman Old Style" w:hAnsi="Bookman Old Style"/>
          <w:sz w:val="20"/>
          <w:szCs w:val="20"/>
          <w:lang w:val="en-US"/>
        </w:rPr>
        <w:t>JSC</w:t>
      </w:r>
      <w:r w:rsidRPr="005D36D5">
        <w:rPr>
          <w:rFonts w:ascii="Bookman Old Style" w:hAnsi="Bookman Old Style"/>
          <w:sz w:val="20"/>
          <w:szCs w:val="20"/>
          <w:lang w:val="uk-UA"/>
        </w:rPr>
        <w:t xml:space="preserve"> “</w:t>
      </w:r>
      <w:r>
        <w:rPr>
          <w:rFonts w:ascii="Bookman Old Style" w:hAnsi="Bookman Old Style"/>
          <w:sz w:val="20"/>
          <w:szCs w:val="20"/>
          <w:lang w:val="en-US"/>
        </w:rPr>
        <w:t>CB</w:t>
      </w:r>
      <w:r w:rsidRPr="005D36D5">
        <w:rPr>
          <w:rFonts w:ascii="Bookman Old Style" w:hAnsi="Bookman Old Style"/>
          <w:sz w:val="20"/>
          <w:szCs w:val="20"/>
          <w:lang w:val="uk-UA"/>
        </w:rPr>
        <w:t xml:space="preserve"> “</w:t>
      </w:r>
      <w:r>
        <w:rPr>
          <w:rFonts w:ascii="Bookman Old Style" w:hAnsi="Bookman Old Style"/>
          <w:sz w:val="20"/>
          <w:szCs w:val="20"/>
          <w:lang w:val="en-US"/>
        </w:rPr>
        <w:t>PRIVATBANK</w:t>
      </w:r>
      <w:r>
        <w:rPr>
          <w:rFonts w:ascii="Bookman Old Style" w:hAnsi="Bookman Old Style"/>
          <w:sz w:val="20"/>
          <w:szCs w:val="20"/>
          <w:lang w:val="uk-UA"/>
        </w:rPr>
        <w:t>”</w:t>
      </w:r>
      <w:r w:rsidRPr="0098049A">
        <w:rPr>
          <w:rFonts w:ascii="Bookman Old Style" w:hAnsi="Bookman Old Style"/>
          <w:sz w:val="20"/>
          <w:szCs w:val="20"/>
          <w:lang w:val="uk-UA"/>
        </w:rPr>
        <w:t xml:space="preserve"> </w:t>
      </w:r>
      <w:r>
        <w:rPr>
          <w:rFonts w:ascii="Bookman Old Style" w:hAnsi="Bookman Old Style"/>
          <w:sz w:val="20"/>
          <w:szCs w:val="20"/>
          <w:lang w:val="en-US"/>
        </w:rPr>
        <w:t>has r</w:t>
      </w:r>
      <w:r w:rsidR="00F466AB">
        <w:rPr>
          <w:rFonts w:ascii="Bookman Old Style" w:hAnsi="Bookman Old Style"/>
          <w:sz w:val="20"/>
          <w:szCs w:val="20"/>
          <w:lang w:val="en-US"/>
        </w:rPr>
        <w:t xml:space="preserve">eceived a loss of UAH 22,966 </w:t>
      </w:r>
      <w:proofErr w:type="spellStart"/>
      <w:r w:rsidR="00F466AB">
        <w:rPr>
          <w:rFonts w:ascii="Bookman Old Style" w:hAnsi="Bookman Old Style"/>
          <w:sz w:val="20"/>
          <w:szCs w:val="20"/>
          <w:lang w:val="en-US"/>
        </w:rPr>
        <w:t>bn</w:t>
      </w:r>
      <w:proofErr w:type="spellEnd"/>
      <w:r w:rsidR="00F466AB">
        <w:rPr>
          <w:rFonts w:ascii="Bookman Old Style" w:hAnsi="Bookman Old Style"/>
          <w:sz w:val="20"/>
          <w:szCs w:val="20"/>
          <w:lang w:val="en-US"/>
        </w:rPr>
        <w:t>,</w:t>
      </w:r>
      <w:r>
        <w:rPr>
          <w:rFonts w:ascii="Bookman Old Style" w:hAnsi="Bookman Old Style"/>
          <w:sz w:val="20"/>
          <w:szCs w:val="20"/>
          <w:lang w:val="en-US"/>
        </w:rPr>
        <w:t xml:space="preserve"> </w:t>
      </w:r>
      <w:r w:rsidR="00F466AB">
        <w:rPr>
          <w:rFonts w:ascii="Bookman Old Style" w:hAnsi="Bookman Old Style"/>
          <w:sz w:val="20"/>
          <w:szCs w:val="20"/>
          <w:lang w:val="en-US"/>
        </w:rPr>
        <w:t>t</w:t>
      </w:r>
      <w:r>
        <w:rPr>
          <w:rFonts w:ascii="Bookman Old Style" w:hAnsi="Bookman Old Style"/>
          <w:sz w:val="20"/>
          <w:szCs w:val="20"/>
          <w:lang w:val="en-US"/>
        </w:rPr>
        <w:t>he Bank’s unprofitable activity</w:t>
      </w:r>
      <w:r w:rsidR="00F466AB">
        <w:rPr>
          <w:rFonts w:ascii="Bookman Old Style" w:hAnsi="Bookman Old Style"/>
          <w:sz w:val="20"/>
          <w:szCs w:val="20"/>
          <w:lang w:val="en-US"/>
        </w:rPr>
        <w:t xml:space="preserve"> has occurred mostly due to </w:t>
      </w:r>
      <w:r w:rsidR="00F466AB">
        <w:rPr>
          <w:rFonts w:ascii="Bookman Old Style" w:hAnsi="Bookman Old Style"/>
          <w:sz w:val="20"/>
          <w:szCs w:val="20"/>
          <w:lang w:val="en-US"/>
        </w:rPr>
        <w:t xml:space="preserve">significant </w:t>
      </w:r>
      <w:r w:rsidR="00F466AB" w:rsidRPr="00717853">
        <w:rPr>
          <w:rFonts w:ascii="Bookman Old Style" w:hAnsi="Bookman Old Style"/>
          <w:sz w:val="20"/>
          <w:szCs w:val="20"/>
          <w:lang w:val="en-US"/>
        </w:rPr>
        <w:t>deductions in asset reserves formed</w:t>
      </w:r>
      <w:r w:rsidR="00F466AB">
        <w:rPr>
          <w:rFonts w:ascii="Bookman Old Style" w:hAnsi="Bookman Old Style"/>
          <w:sz w:val="20"/>
          <w:szCs w:val="20"/>
          <w:lang w:val="en-US"/>
        </w:rPr>
        <w:t xml:space="preserve"> at the Bank’s balance</w:t>
      </w:r>
      <w:r w:rsidR="00F466AB" w:rsidRPr="00717853">
        <w:rPr>
          <w:rFonts w:ascii="Bookman Old Style" w:hAnsi="Bookman Old Style"/>
          <w:sz w:val="20"/>
          <w:szCs w:val="20"/>
          <w:lang w:val="en-US"/>
        </w:rPr>
        <w:t xml:space="preserve"> prior to nationalization.</w:t>
      </w:r>
      <w:r w:rsidR="00F466AB">
        <w:rPr>
          <w:rFonts w:ascii="Bookman Old Style" w:hAnsi="Bookman Old Style"/>
          <w:sz w:val="20"/>
          <w:szCs w:val="20"/>
          <w:lang w:val="en-US"/>
        </w:rPr>
        <w:t xml:space="preserve"> In the first quarter of 2018 the Bank’s profit has increased up to UAH 3,654 </w:t>
      </w:r>
      <w:proofErr w:type="spellStart"/>
      <w:r w:rsidR="00F466AB">
        <w:rPr>
          <w:rFonts w:ascii="Bookman Old Style" w:hAnsi="Bookman Old Style"/>
          <w:sz w:val="20"/>
          <w:szCs w:val="20"/>
          <w:lang w:val="en-US"/>
        </w:rPr>
        <w:t>bn</w:t>
      </w:r>
      <w:proofErr w:type="spellEnd"/>
      <w:r w:rsidR="00F466AB">
        <w:rPr>
          <w:rFonts w:ascii="Bookman Old Style" w:hAnsi="Bookman Old Style"/>
          <w:sz w:val="20"/>
          <w:szCs w:val="20"/>
          <w:lang w:val="en-US"/>
        </w:rPr>
        <w:t>, for the first half of 2018 the profit has grown up to UAH 6,926 bn.</w:t>
      </w:r>
      <w:r>
        <w:rPr>
          <w:rFonts w:ascii="Bookman Old Style" w:hAnsi="Bookman Old Style"/>
          <w:sz w:val="20"/>
          <w:szCs w:val="20"/>
          <w:lang w:val="en-US"/>
        </w:rPr>
        <w:t xml:space="preserve"> As</w:t>
      </w:r>
      <w:r w:rsidRPr="00717853">
        <w:rPr>
          <w:rFonts w:ascii="Bookman Old Style" w:hAnsi="Bookman Old Style"/>
          <w:sz w:val="20"/>
          <w:szCs w:val="20"/>
          <w:lang w:val="en-US"/>
        </w:rPr>
        <w:t xml:space="preserve"> </w:t>
      </w:r>
      <w:r>
        <w:rPr>
          <w:rFonts w:ascii="Bookman Old Style" w:hAnsi="Bookman Old Style"/>
          <w:sz w:val="20"/>
          <w:szCs w:val="20"/>
          <w:lang w:val="en-US"/>
        </w:rPr>
        <w:t>well</w:t>
      </w:r>
      <w:r w:rsidRPr="00717853">
        <w:rPr>
          <w:rFonts w:ascii="Bookman Old Style" w:hAnsi="Bookman Old Style"/>
          <w:sz w:val="20"/>
          <w:szCs w:val="20"/>
          <w:lang w:val="en-US"/>
        </w:rPr>
        <w:t xml:space="preserve">, </w:t>
      </w:r>
      <w:r>
        <w:rPr>
          <w:rFonts w:ascii="Bookman Old Style" w:hAnsi="Bookman Old Style"/>
          <w:sz w:val="20"/>
          <w:szCs w:val="20"/>
          <w:lang w:val="en-US"/>
        </w:rPr>
        <w:t>one</w:t>
      </w:r>
      <w:r w:rsidRPr="00717853">
        <w:rPr>
          <w:rFonts w:ascii="Bookman Old Style" w:hAnsi="Bookman Old Style"/>
          <w:sz w:val="20"/>
          <w:szCs w:val="20"/>
          <w:lang w:val="en-US"/>
        </w:rPr>
        <w:t xml:space="preserve"> </w:t>
      </w:r>
      <w:r>
        <w:rPr>
          <w:rFonts w:ascii="Bookman Old Style" w:hAnsi="Bookman Old Style"/>
          <w:sz w:val="20"/>
          <w:szCs w:val="20"/>
          <w:lang w:val="en-US"/>
        </w:rPr>
        <w:t>should</w:t>
      </w:r>
      <w:r w:rsidR="00D904A8">
        <w:rPr>
          <w:rFonts w:ascii="Bookman Old Style" w:hAnsi="Bookman Old Style"/>
          <w:sz w:val="20"/>
          <w:szCs w:val="20"/>
          <w:lang w:val="en-US"/>
        </w:rPr>
        <w:t xml:space="preserve"> note a number of positive trends, which indicate a renewal of the Bank’s generation of key income items in the first half of 2018 compared to the same period of 2017:</w:t>
      </w:r>
      <w:r w:rsidRPr="00717853">
        <w:rPr>
          <w:rFonts w:ascii="Bookman Old Style" w:hAnsi="Bookman Old Style"/>
          <w:sz w:val="20"/>
          <w:szCs w:val="20"/>
          <w:lang w:val="en-US"/>
        </w:rPr>
        <w:t xml:space="preserve"> </w:t>
      </w:r>
    </w:p>
    <w:p w14:paraId="1C72F376" w14:textId="761000A5" w:rsidR="00BF54E1" w:rsidRPr="00AF79C9" w:rsidRDefault="00105EDD" w:rsidP="00BF54E1">
      <w:pPr>
        <w:numPr>
          <w:ilvl w:val="0"/>
          <w:numId w:val="13"/>
        </w:numPr>
        <w:jc w:val="both"/>
        <w:rPr>
          <w:rFonts w:ascii="Bookman Old Style" w:hAnsi="Bookman Old Style"/>
          <w:sz w:val="20"/>
          <w:szCs w:val="20"/>
          <w:lang w:val="uk-UA"/>
        </w:rPr>
      </w:pPr>
      <w:r>
        <w:rPr>
          <w:rFonts w:ascii="Bookman Old Style" w:hAnsi="Bookman Old Style"/>
          <w:sz w:val="20"/>
          <w:szCs w:val="20"/>
          <w:lang w:val="en-US"/>
        </w:rPr>
        <w:t>Increase in net interest income by</w:t>
      </w:r>
      <w:r w:rsidR="00BF54E1" w:rsidRPr="00AF79C9">
        <w:rPr>
          <w:rFonts w:ascii="Bookman Old Style" w:hAnsi="Bookman Old Style"/>
          <w:sz w:val="20"/>
          <w:szCs w:val="20"/>
          <w:lang w:val="uk-UA"/>
        </w:rPr>
        <w:t xml:space="preserve"> </w:t>
      </w:r>
      <w:r w:rsidR="00901A79" w:rsidRPr="00AF79C9">
        <w:rPr>
          <w:rFonts w:ascii="Bookman Old Style" w:hAnsi="Bookman Old Style"/>
          <w:sz w:val="20"/>
          <w:szCs w:val="20"/>
          <w:lang w:val="uk-UA"/>
        </w:rPr>
        <w:t>264,29</w:t>
      </w:r>
      <w:r w:rsidR="00BF54E1" w:rsidRPr="00AF79C9">
        <w:rPr>
          <w:rFonts w:ascii="Bookman Old Style" w:hAnsi="Bookman Old Style"/>
          <w:sz w:val="20"/>
          <w:szCs w:val="20"/>
          <w:lang w:val="uk-UA"/>
        </w:rPr>
        <w:t>%;</w:t>
      </w:r>
    </w:p>
    <w:p w14:paraId="00F2BCD4" w14:textId="11EEECA8" w:rsidR="00BF54E1" w:rsidRPr="00AF79C9" w:rsidRDefault="00105EDD" w:rsidP="00BF54E1">
      <w:pPr>
        <w:numPr>
          <w:ilvl w:val="0"/>
          <w:numId w:val="13"/>
        </w:numPr>
        <w:jc w:val="both"/>
        <w:rPr>
          <w:rFonts w:ascii="Bookman Old Style" w:hAnsi="Bookman Old Style"/>
          <w:sz w:val="20"/>
          <w:szCs w:val="20"/>
          <w:lang w:val="uk-UA"/>
        </w:rPr>
      </w:pPr>
      <w:r>
        <w:rPr>
          <w:rFonts w:ascii="Bookman Old Style" w:hAnsi="Bookman Old Style"/>
          <w:sz w:val="20"/>
          <w:szCs w:val="20"/>
          <w:lang w:val="en-US"/>
        </w:rPr>
        <w:t xml:space="preserve">Increase in net </w:t>
      </w:r>
      <w:r>
        <w:rPr>
          <w:rFonts w:ascii="Bookman Old Style" w:hAnsi="Bookman Old Style"/>
          <w:sz w:val="20"/>
          <w:szCs w:val="20"/>
          <w:lang w:val="en-US"/>
        </w:rPr>
        <w:t>commission</w:t>
      </w:r>
      <w:r>
        <w:rPr>
          <w:rFonts w:ascii="Bookman Old Style" w:hAnsi="Bookman Old Style"/>
          <w:sz w:val="20"/>
          <w:szCs w:val="20"/>
          <w:lang w:val="en-US"/>
        </w:rPr>
        <w:t xml:space="preserve"> income by</w:t>
      </w:r>
      <w:r w:rsidR="00BF54E1" w:rsidRPr="00AF79C9">
        <w:rPr>
          <w:rFonts w:ascii="Bookman Old Style" w:hAnsi="Bookman Old Style"/>
          <w:sz w:val="20"/>
          <w:szCs w:val="20"/>
          <w:lang w:val="uk-UA"/>
        </w:rPr>
        <w:t xml:space="preserve"> 44</w:t>
      </w:r>
      <w:proofErr w:type="gramStart"/>
      <w:r w:rsidR="00BF54E1" w:rsidRPr="00AF79C9">
        <w:rPr>
          <w:rFonts w:ascii="Bookman Old Style" w:hAnsi="Bookman Old Style"/>
          <w:sz w:val="20"/>
          <w:szCs w:val="20"/>
          <w:lang w:val="uk-UA"/>
        </w:rPr>
        <w:t>,</w:t>
      </w:r>
      <w:r w:rsidR="00800041" w:rsidRPr="00AF79C9">
        <w:rPr>
          <w:rFonts w:ascii="Bookman Old Style" w:hAnsi="Bookman Old Style"/>
          <w:sz w:val="20"/>
          <w:szCs w:val="20"/>
          <w:lang w:val="uk-UA"/>
        </w:rPr>
        <w:t>35</w:t>
      </w:r>
      <w:proofErr w:type="gramEnd"/>
      <w:r w:rsidR="00BF54E1" w:rsidRPr="00AF79C9">
        <w:rPr>
          <w:rFonts w:ascii="Bookman Old Style" w:hAnsi="Bookman Old Style"/>
          <w:sz w:val="20"/>
          <w:szCs w:val="20"/>
          <w:lang w:val="uk-UA"/>
        </w:rPr>
        <w:t>%</w:t>
      </w:r>
      <w:r w:rsidR="00C65DCB" w:rsidRPr="00AF79C9">
        <w:rPr>
          <w:rFonts w:ascii="Bookman Old Style" w:hAnsi="Bookman Old Style"/>
          <w:sz w:val="20"/>
          <w:szCs w:val="20"/>
          <w:lang w:val="uk-UA"/>
        </w:rPr>
        <w:t>.</w:t>
      </w:r>
      <w:r w:rsidR="00800041" w:rsidRPr="00AF79C9">
        <w:rPr>
          <w:rFonts w:ascii="Bookman Old Style" w:hAnsi="Bookman Old Style"/>
          <w:sz w:val="20"/>
          <w:szCs w:val="20"/>
          <w:lang w:val="uk-UA"/>
        </w:rPr>
        <w:t xml:space="preserve"> </w:t>
      </w:r>
    </w:p>
    <w:p w14:paraId="7B42C503" w14:textId="1D7694A0" w:rsidR="00193B25" w:rsidRPr="00AF79C9" w:rsidRDefault="00CE02D8" w:rsidP="00193B25">
      <w:pPr>
        <w:jc w:val="right"/>
        <w:rPr>
          <w:rFonts w:ascii="Bookman Old Style" w:hAnsi="Bookman Old Style"/>
          <w:sz w:val="20"/>
          <w:szCs w:val="20"/>
          <w:lang w:val="uk-UA"/>
        </w:rPr>
      </w:pPr>
      <w:r>
        <w:rPr>
          <w:rFonts w:ascii="Bookman Old Style" w:hAnsi="Bookman Old Style"/>
          <w:sz w:val="20"/>
          <w:szCs w:val="20"/>
          <w:lang w:val="en-US"/>
        </w:rPr>
        <w:t>Table</w:t>
      </w:r>
      <w:r w:rsidR="00193B25" w:rsidRPr="00AF79C9">
        <w:rPr>
          <w:rFonts w:ascii="Bookman Old Style" w:hAnsi="Bookman Old Style"/>
          <w:sz w:val="20"/>
          <w:szCs w:val="20"/>
          <w:lang w:val="uk-UA"/>
        </w:rPr>
        <w:t xml:space="preserve"> 3</w:t>
      </w:r>
    </w:p>
    <w:p w14:paraId="4B8D068A" w14:textId="529D190F" w:rsidR="00193B25" w:rsidRPr="00AF79C9" w:rsidRDefault="008519B1" w:rsidP="00193B25">
      <w:pPr>
        <w:jc w:val="center"/>
        <w:rPr>
          <w:rFonts w:ascii="Bookman Old Style" w:hAnsi="Bookman Old Style"/>
          <w:b/>
          <w:sz w:val="20"/>
          <w:szCs w:val="20"/>
          <w:lang w:val="uk-UA"/>
        </w:rPr>
      </w:pPr>
      <w:proofErr w:type="gramStart"/>
      <w:r w:rsidRPr="001C4772">
        <w:rPr>
          <w:rFonts w:ascii="Bookman Old Style" w:hAnsi="Bookman Old Style"/>
          <w:b/>
          <w:sz w:val="20"/>
          <w:szCs w:val="20"/>
          <w:lang w:val="en-GB"/>
        </w:rPr>
        <w:t>Data</w:t>
      </w:r>
      <w:r w:rsidRPr="00E31BAB">
        <w:rPr>
          <w:rFonts w:ascii="Bookman Old Style" w:hAnsi="Bookman Old Style"/>
          <w:b/>
          <w:sz w:val="20"/>
          <w:szCs w:val="20"/>
          <w:lang w:val="uk-UA"/>
        </w:rPr>
        <w:t xml:space="preserve"> </w:t>
      </w:r>
      <w:r w:rsidRPr="001C4772">
        <w:rPr>
          <w:rFonts w:ascii="Bookman Old Style" w:hAnsi="Bookman Old Style"/>
          <w:b/>
          <w:sz w:val="20"/>
          <w:szCs w:val="20"/>
          <w:lang w:val="en-GB"/>
        </w:rPr>
        <w:t>on</w:t>
      </w:r>
      <w:r w:rsidRPr="00E31BAB">
        <w:rPr>
          <w:rFonts w:ascii="Bookman Old Style" w:hAnsi="Bookman Old Style"/>
          <w:b/>
          <w:sz w:val="20"/>
          <w:szCs w:val="20"/>
          <w:lang w:val="uk-UA"/>
        </w:rPr>
        <w:t xml:space="preserve"> </w:t>
      </w:r>
      <w:r w:rsidRPr="001C4772">
        <w:rPr>
          <w:rFonts w:ascii="Bookman Old Style" w:hAnsi="Bookman Old Style"/>
          <w:b/>
          <w:sz w:val="20"/>
          <w:szCs w:val="20"/>
          <w:lang w:val="en-GB"/>
        </w:rPr>
        <w:t>key</w:t>
      </w:r>
      <w:r w:rsidRPr="00E31BAB">
        <w:rPr>
          <w:rFonts w:ascii="Bookman Old Style" w:hAnsi="Bookman Old Style"/>
          <w:b/>
          <w:sz w:val="20"/>
          <w:szCs w:val="20"/>
          <w:lang w:val="uk-UA"/>
        </w:rPr>
        <w:t xml:space="preserve"> </w:t>
      </w:r>
      <w:r w:rsidRPr="001C4772">
        <w:rPr>
          <w:rFonts w:ascii="Bookman Old Style" w:hAnsi="Bookman Old Style"/>
          <w:b/>
          <w:sz w:val="20"/>
          <w:szCs w:val="20"/>
          <w:lang w:val="en-GB"/>
        </w:rPr>
        <w:t>articles</w:t>
      </w:r>
      <w:r w:rsidRPr="00E31BAB">
        <w:rPr>
          <w:rFonts w:ascii="Bookman Old Style" w:hAnsi="Bookman Old Style"/>
          <w:b/>
          <w:sz w:val="20"/>
          <w:szCs w:val="20"/>
          <w:lang w:val="uk-UA"/>
        </w:rPr>
        <w:t xml:space="preserve"> </w:t>
      </w:r>
      <w:r w:rsidRPr="001C4772">
        <w:rPr>
          <w:rFonts w:ascii="Bookman Old Style" w:hAnsi="Bookman Old Style"/>
          <w:b/>
          <w:sz w:val="20"/>
          <w:szCs w:val="20"/>
          <w:lang w:val="en-GB"/>
        </w:rPr>
        <w:t>of</w:t>
      </w:r>
      <w:r w:rsidRPr="00E31BAB">
        <w:rPr>
          <w:rFonts w:ascii="Bookman Old Style" w:hAnsi="Bookman Old Style"/>
          <w:b/>
          <w:sz w:val="20"/>
          <w:szCs w:val="20"/>
          <w:lang w:val="uk-UA"/>
        </w:rPr>
        <w:t xml:space="preserve"> </w:t>
      </w:r>
      <w:r w:rsidRPr="001C4772">
        <w:rPr>
          <w:rFonts w:ascii="Bookman Old Style" w:hAnsi="Bookman Old Style"/>
          <w:b/>
          <w:sz w:val="20"/>
          <w:szCs w:val="20"/>
          <w:lang w:val="en-GB"/>
        </w:rPr>
        <w:t>income</w:t>
      </w:r>
      <w:r w:rsidRPr="00E31BAB">
        <w:rPr>
          <w:rFonts w:ascii="Bookman Old Style" w:hAnsi="Bookman Old Style"/>
          <w:b/>
          <w:sz w:val="20"/>
          <w:szCs w:val="20"/>
          <w:lang w:val="uk-UA"/>
        </w:rPr>
        <w:t xml:space="preserve"> </w:t>
      </w:r>
      <w:r w:rsidRPr="001C4772">
        <w:rPr>
          <w:rFonts w:ascii="Bookman Old Style" w:hAnsi="Bookman Old Style"/>
          <w:b/>
          <w:sz w:val="20"/>
          <w:szCs w:val="20"/>
          <w:lang w:val="en-GB"/>
        </w:rPr>
        <w:t>and</w:t>
      </w:r>
      <w:r w:rsidRPr="00E31BAB">
        <w:rPr>
          <w:rFonts w:ascii="Bookman Old Style" w:hAnsi="Bookman Old Style"/>
          <w:b/>
          <w:sz w:val="20"/>
          <w:szCs w:val="20"/>
          <w:lang w:val="uk-UA"/>
        </w:rPr>
        <w:t xml:space="preserve"> </w:t>
      </w:r>
      <w:r w:rsidRPr="001C4772">
        <w:rPr>
          <w:rFonts w:ascii="Bookman Old Style" w:hAnsi="Bookman Old Style"/>
          <w:b/>
          <w:sz w:val="20"/>
          <w:szCs w:val="20"/>
          <w:lang w:val="en-GB"/>
        </w:rPr>
        <w:t>expenses</w:t>
      </w:r>
      <w:r w:rsidRPr="00E31BAB">
        <w:rPr>
          <w:rFonts w:ascii="Bookman Old Style" w:hAnsi="Bookman Old Style"/>
          <w:b/>
          <w:sz w:val="20"/>
          <w:szCs w:val="20"/>
          <w:lang w:val="uk-UA"/>
        </w:rPr>
        <w:t xml:space="preserve"> </w:t>
      </w:r>
      <w:r w:rsidRPr="001C4772">
        <w:rPr>
          <w:rFonts w:ascii="Bookman Old Style" w:hAnsi="Bookman Old Style"/>
          <w:b/>
          <w:sz w:val="20"/>
          <w:szCs w:val="20"/>
          <w:lang w:val="en-GB"/>
        </w:rPr>
        <w:t>of</w:t>
      </w:r>
      <w:r w:rsidRPr="00E31BAB">
        <w:rPr>
          <w:rFonts w:ascii="Bookman Old Style" w:hAnsi="Bookman Old Style"/>
          <w:b/>
          <w:sz w:val="20"/>
          <w:szCs w:val="20"/>
          <w:lang w:val="uk-UA"/>
        </w:rPr>
        <w:t xml:space="preserve"> </w:t>
      </w:r>
      <w:r>
        <w:rPr>
          <w:rFonts w:ascii="Bookman Old Style" w:hAnsi="Bookman Old Style"/>
          <w:b/>
          <w:sz w:val="20"/>
          <w:szCs w:val="20"/>
          <w:lang w:val="en-US"/>
        </w:rPr>
        <w:t>JSC</w:t>
      </w:r>
      <w:r>
        <w:rPr>
          <w:rFonts w:ascii="Bookman Old Style" w:hAnsi="Bookman Old Style"/>
          <w:b/>
          <w:sz w:val="20"/>
          <w:szCs w:val="20"/>
          <w:lang w:val="uk-UA"/>
        </w:rPr>
        <w:t xml:space="preserve"> «</w:t>
      </w:r>
      <w:r>
        <w:rPr>
          <w:rFonts w:ascii="Bookman Old Style" w:hAnsi="Bookman Old Style"/>
          <w:b/>
          <w:sz w:val="20"/>
          <w:szCs w:val="20"/>
          <w:lang w:val="en-US"/>
        </w:rPr>
        <w:t xml:space="preserve">CB </w:t>
      </w:r>
      <w:r>
        <w:rPr>
          <w:rFonts w:ascii="Bookman Old Style" w:hAnsi="Bookman Old Style"/>
          <w:b/>
          <w:sz w:val="20"/>
          <w:szCs w:val="20"/>
          <w:lang w:val="uk-UA"/>
        </w:rPr>
        <w:t>«</w:t>
      </w:r>
      <w:r>
        <w:rPr>
          <w:rFonts w:ascii="Bookman Old Style" w:hAnsi="Bookman Old Style"/>
          <w:b/>
          <w:sz w:val="20"/>
          <w:szCs w:val="20"/>
          <w:lang w:val="en-US"/>
        </w:rPr>
        <w:t>PRIVATBANK</w:t>
      </w:r>
      <w:r>
        <w:rPr>
          <w:rFonts w:ascii="Bookman Old Style" w:hAnsi="Bookman Old Style"/>
          <w:b/>
          <w:sz w:val="20"/>
          <w:szCs w:val="20"/>
          <w:lang w:val="uk-UA"/>
        </w:rPr>
        <w:t>»</w:t>
      </w:r>
      <w:r w:rsidRPr="00D70070">
        <w:rPr>
          <w:rFonts w:ascii="Bookman Old Style" w:hAnsi="Bookman Old Style"/>
          <w:b/>
          <w:sz w:val="20"/>
          <w:szCs w:val="20"/>
          <w:lang w:val="uk-UA"/>
        </w:rPr>
        <w:t xml:space="preserve">, </w:t>
      </w:r>
      <w:proofErr w:type="spellStart"/>
      <w:r>
        <w:rPr>
          <w:rFonts w:ascii="Bookman Old Style" w:hAnsi="Bookman Old Style"/>
          <w:b/>
          <w:sz w:val="20"/>
          <w:szCs w:val="20"/>
          <w:lang w:val="en-US"/>
        </w:rPr>
        <w:t>mln</w:t>
      </w:r>
      <w:proofErr w:type="spellEnd"/>
      <w:r w:rsidRPr="00FD0993">
        <w:rPr>
          <w:rFonts w:ascii="Bookman Old Style" w:hAnsi="Bookman Old Style"/>
          <w:b/>
          <w:sz w:val="20"/>
          <w:szCs w:val="20"/>
          <w:lang w:val="uk-UA"/>
        </w:rPr>
        <w:t>.</w:t>
      </w:r>
      <w:proofErr w:type="gramEnd"/>
      <w:r>
        <w:rPr>
          <w:rFonts w:ascii="Bookman Old Style" w:hAnsi="Bookman Old Style"/>
          <w:b/>
          <w:sz w:val="20"/>
          <w:szCs w:val="20"/>
          <w:lang w:val="en-US"/>
        </w:rPr>
        <w:t xml:space="preserve"> UAH</w:t>
      </w:r>
      <w:r>
        <w:rPr>
          <w:rFonts w:ascii="Bookman Old Style" w:hAnsi="Bookman Old Style"/>
          <w:b/>
          <w:sz w:val="20"/>
          <w:szCs w:val="20"/>
          <w:lang w:val="uk-UA"/>
        </w:rPr>
        <w:t>, %</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085"/>
        <w:gridCol w:w="1134"/>
        <w:gridCol w:w="936"/>
        <w:gridCol w:w="1332"/>
      </w:tblGrid>
      <w:tr w:rsidR="007773CA" w:rsidRPr="00AF79C9" w14:paraId="599256E5" w14:textId="77777777" w:rsidTr="002210A0">
        <w:trPr>
          <w:trHeight w:val="227"/>
          <w:jc w:val="center"/>
        </w:trPr>
        <w:tc>
          <w:tcPr>
            <w:tcW w:w="4268" w:type="dxa"/>
            <w:shd w:val="clear" w:color="auto" w:fill="auto"/>
            <w:noWrap/>
            <w:vAlign w:val="center"/>
            <w:hideMark/>
          </w:tcPr>
          <w:p w14:paraId="72EC856B" w14:textId="1B1AF5C1" w:rsidR="007773CA" w:rsidRPr="00AF79C9" w:rsidRDefault="007773CA">
            <w:pPr>
              <w:jc w:val="center"/>
              <w:rPr>
                <w:rFonts w:ascii="Bookman Old Style" w:hAnsi="Bookman Old Style" w:cs="Calibri"/>
                <w:color w:val="000000"/>
                <w:sz w:val="16"/>
                <w:szCs w:val="16"/>
                <w:lang w:val="uk-UA"/>
              </w:rPr>
            </w:pPr>
            <w:r>
              <w:rPr>
                <w:rFonts w:ascii="Bookman Old Style" w:hAnsi="Bookman Old Style" w:cs="Calibri"/>
                <w:color w:val="000000"/>
                <w:sz w:val="16"/>
                <w:szCs w:val="16"/>
                <w:lang w:val="en-US"/>
              </w:rPr>
              <w:t>Indicator</w:t>
            </w:r>
          </w:p>
        </w:tc>
        <w:tc>
          <w:tcPr>
            <w:tcW w:w="1085" w:type="dxa"/>
            <w:shd w:val="clear" w:color="auto" w:fill="auto"/>
            <w:noWrap/>
            <w:vAlign w:val="center"/>
            <w:hideMark/>
          </w:tcPr>
          <w:p w14:paraId="76C75CFE" w14:textId="5E2E6A38" w:rsidR="007773CA" w:rsidRPr="00E11376" w:rsidRDefault="007773CA" w:rsidP="00E11376">
            <w:pPr>
              <w:jc w:val="center"/>
              <w:rPr>
                <w:rFonts w:ascii="Bookman Old Style" w:hAnsi="Bookman Old Style" w:cs="Calibri"/>
                <w:color w:val="000000"/>
                <w:sz w:val="16"/>
                <w:szCs w:val="16"/>
                <w:lang w:val="en-US"/>
              </w:rPr>
            </w:pPr>
            <w:r w:rsidRPr="00AF79C9">
              <w:rPr>
                <w:rFonts w:ascii="Bookman Old Style" w:hAnsi="Bookman Old Style" w:cs="Calibri"/>
                <w:color w:val="000000"/>
                <w:sz w:val="16"/>
                <w:szCs w:val="16"/>
                <w:lang w:val="uk-UA"/>
              </w:rPr>
              <w:t xml:space="preserve">І </w:t>
            </w:r>
            <w:r w:rsidR="00E11376">
              <w:rPr>
                <w:rFonts w:ascii="Bookman Old Style" w:hAnsi="Bookman Old Style" w:cs="Calibri"/>
                <w:color w:val="000000"/>
                <w:sz w:val="16"/>
                <w:szCs w:val="16"/>
                <w:lang w:val="en-US"/>
              </w:rPr>
              <w:t>half of</w:t>
            </w:r>
            <w:r w:rsidR="00E11376">
              <w:rPr>
                <w:rFonts w:ascii="Bookman Old Style" w:hAnsi="Bookman Old Style" w:cs="Calibri"/>
                <w:color w:val="000000"/>
                <w:sz w:val="16"/>
                <w:szCs w:val="16"/>
                <w:lang w:val="uk-UA"/>
              </w:rPr>
              <w:t xml:space="preserve"> 2018 </w:t>
            </w:r>
          </w:p>
        </w:tc>
        <w:tc>
          <w:tcPr>
            <w:tcW w:w="1134" w:type="dxa"/>
            <w:shd w:val="clear" w:color="auto" w:fill="auto"/>
            <w:noWrap/>
            <w:vAlign w:val="center"/>
            <w:hideMark/>
          </w:tcPr>
          <w:p w14:paraId="594777AE" w14:textId="04394BED" w:rsidR="007773CA" w:rsidRPr="00AF79C9" w:rsidRDefault="007773CA" w:rsidP="00E11376">
            <w:pPr>
              <w:jc w:val="center"/>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 xml:space="preserve">І </w:t>
            </w:r>
            <w:r w:rsidR="00E11376">
              <w:rPr>
                <w:rFonts w:ascii="Bookman Old Style" w:hAnsi="Bookman Old Style" w:cs="Calibri"/>
                <w:color w:val="000000"/>
                <w:sz w:val="16"/>
                <w:szCs w:val="16"/>
                <w:lang w:val="en-US"/>
              </w:rPr>
              <w:t>half of</w:t>
            </w:r>
            <w:r w:rsidRPr="00AF79C9">
              <w:rPr>
                <w:rFonts w:ascii="Bookman Old Style" w:hAnsi="Bookman Old Style" w:cs="Calibri"/>
                <w:color w:val="000000"/>
                <w:sz w:val="16"/>
                <w:szCs w:val="16"/>
                <w:lang w:val="uk-UA"/>
              </w:rPr>
              <w:t xml:space="preserve"> 2017 </w:t>
            </w:r>
          </w:p>
        </w:tc>
        <w:tc>
          <w:tcPr>
            <w:tcW w:w="936" w:type="dxa"/>
            <w:shd w:val="clear" w:color="auto" w:fill="auto"/>
            <w:noWrap/>
            <w:vAlign w:val="center"/>
            <w:hideMark/>
          </w:tcPr>
          <w:p w14:paraId="25C72E59" w14:textId="3EEBC03E" w:rsidR="007773CA" w:rsidRPr="00AF79C9" w:rsidRDefault="007773CA">
            <w:pPr>
              <w:jc w:val="center"/>
              <w:rPr>
                <w:rFonts w:ascii="Bookman Old Style" w:hAnsi="Bookman Old Style" w:cs="Calibri"/>
                <w:color w:val="000000"/>
                <w:sz w:val="16"/>
                <w:szCs w:val="16"/>
                <w:lang w:val="uk-UA"/>
              </w:rPr>
            </w:pPr>
            <w:r w:rsidRPr="009E526A">
              <w:rPr>
                <w:rFonts w:ascii="Bookman Old Style" w:hAnsi="Bookman Old Style"/>
                <w:sz w:val="16"/>
                <w:szCs w:val="16"/>
                <w:lang w:val="en-US"/>
              </w:rPr>
              <w:t>Change</w:t>
            </w:r>
          </w:p>
        </w:tc>
        <w:tc>
          <w:tcPr>
            <w:tcW w:w="1332" w:type="dxa"/>
            <w:shd w:val="clear" w:color="auto" w:fill="auto"/>
            <w:noWrap/>
            <w:vAlign w:val="center"/>
            <w:hideMark/>
          </w:tcPr>
          <w:p w14:paraId="6549C187" w14:textId="704BEA76" w:rsidR="007773CA" w:rsidRPr="00AF79C9" w:rsidRDefault="007773CA">
            <w:pPr>
              <w:jc w:val="center"/>
              <w:rPr>
                <w:rFonts w:ascii="Bookman Old Style" w:hAnsi="Bookman Old Style" w:cs="Calibri"/>
                <w:color w:val="000000"/>
                <w:sz w:val="16"/>
                <w:szCs w:val="16"/>
                <w:lang w:val="uk-UA"/>
              </w:rPr>
            </w:pPr>
            <w:r w:rsidRPr="009E526A">
              <w:rPr>
                <w:rFonts w:ascii="Bookman Old Style" w:hAnsi="Bookman Old Style"/>
                <w:sz w:val="16"/>
                <w:szCs w:val="16"/>
                <w:lang w:val="en-US"/>
              </w:rPr>
              <w:t>Growth rate</w:t>
            </w:r>
            <w:r w:rsidRPr="009E526A">
              <w:rPr>
                <w:rFonts w:ascii="Bookman Old Style" w:hAnsi="Bookman Old Style"/>
                <w:sz w:val="16"/>
                <w:szCs w:val="16"/>
                <w:lang w:val="uk-UA"/>
              </w:rPr>
              <w:t>, %</w:t>
            </w:r>
          </w:p>
        </w:tc>
      </w:tr>
      <w:tr w:rsidR="00FD1033" w:rsidRPr="00AF79C9" w14:paraId="3816539E" w14:textId="77777777" w:rsidTr="004B1A94">
        <w:trPr>
          <w:trHeight w:val="60"/>
          <w:jc w:val="center"/>
        </w:trPr>
        <w:tc>
          <w:tcPr>
            <w:tcW w:w="4268" w:type="dxa"/>
            <w:shd w:val="clear" w:color="auto" w:fill="auto"/>
            <w:hideMark/>
          </w:tcPr>
          <w:p w14:paraId="5E1C7CE3" w14:textId="2A7E3682" w:rsidR="00FD1033" w:rsidRPr="00AF79C9" w:rsidRDefault="00FD1033">
            <w:pPr>
              <w:rPr>
                <w:rFonts w:ascii="Bookman Old Style" w:hAnsi="Bookman Old Style" w:cs="Calibri"/>
                <w:color w:val="000000"/>
                <w:sz w:val="16"/>
                <w:szCs w:val="16"/>
                <w:lang w:val="uk-UA"/>
              </w:rPr>
            </w:pPr>
            <w:r w:rsidRPr="009E526A">
              <w:rPr>
                <w:rFonts w:ascii="Bookman Old Style" w:hAnsi="Bookman Old Style"/>
                <w:sz w:val="16"/>
                <w:szCs w:val="16"/>
                <w:lang w:val="en-US"/>
              </w:rPr>
              <w:t>Interest income</w:t>
            </w:r>
          </w:p>
        </w:tc>
        <w:tc>
          <w:tcPr>
            <w:tcW w:w="1085" w:type="dxa"/>
            <w:shd w:val="clear" w:color="auto" w:fill="auto"/>
            <w:noWrap/>
            <w:vAlign w:val="center"/>
            <w:hideMark/>
          </w:tcPr>
          <w:p w14:paraId="05EFE750"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13977</w:t>
            </w:r>
          </w:p>
        </w:tc>
        <w:tc>
          <w:tcPr>
            <w:tcW w:w="1134" w:type="dxa"/>
            <w:shd w:val="clear" w:color="auto" w:fill="auto"/>
            <w:noWrap/>
            <w:vAlign w:val="center"/>
            <w:hideMark/>
          </w:tcPr>
          <w:p w14:paraId="5F89892E"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11789</w:t>
            </w:r>
          </w:p>
        </w:tc>
        <w:tc>
          <w:tcPr>
            <w:tcW w:w="936" w:type="dxa"/>
            <w:shd w:val="clear" w:color="auto" w:fill="auto"/>
            <w:noWrap/>
            <w:vAlign w:val="center"/>
            <w:hideMark/>
          </w:tcPr>
          <w:p w14:paraId="3A608E7D"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2188</w:t>
            </w:r>
          </w:p>
        </w:tc>
        <w:tc>
          <w:tcPr>
            <w:tcW w:w="1332" w:type="dxa"/>
            <w:shd w:val="clear" w:color="auto" w:fill="auto"/>
            <w:noWrap/>
            <w:vAlign w:val="center"/>
            <w:hideMark/>
          </w:tcPr>
          <w:p w14:paraId="25473704"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18,56%</w:t>
            </w:r>
          </w:p>
        </w:tc>
      </w:tr>
      <w:tr w:rsidR="00FD1033" w:rsidRPr="00AF79C9" w14:paraId="47BC8695" w14:textId="77777777" w:rsidTr="002210A0">
        <w:trPr>
          <w:trHeight w:val="60"/>
          <w:jc w:val="center"/>
        </w:trPr>
        <w:tc>
          <w:tcPr>
            <w:tcW w:w="4268" w:type="dxa"/>
            <w:shd w:val="clear" w:color="auto" w:fill="auto"/>
            <w:vAlign w:val="center"/>
            <w:hideMark/>
          </w:tcPr>
          <w:p w14:paraId="4B92B2F5" w14:textId="14E1A1B1" w:rsidR="00FD1033" w:rsidRPr="00AF79C9" w:rsidRDefault="00FD1033">
            <w:pPr>
              <w:rPr>
                <w:rFonts w:ascii="Bookman Old Style" w:hAnsi="Bookman Old Style" w:cs="Calibri"/>
                <w:color w:val="000000"/>
                <w:sz w:val="16"/>
                <w:szCs w:val="16"/>
                <w:lang w:val="uk-UA"/>
              </w:rPr>
            </w:pPr>
            <w:r>
              <w:rPr>
                <w:rFonts w:ascii="Bookman Old Style" w:hAnsi="Bookman Old Style" w:cs="Calibri"/>
                <w:color w:val="000000"/>
                <w:sz w:val="16"/>
                <w:szCs w:val="16"/>
                <w:lang w:val="en-US"/>
              </w:rPr>
              <w:t>Interest expenses</w:t>
            </w:r>
          </w:p>
        </w:tc>
        <w:tc>
          <w:tcPr>
            <w:tcW w:w="1085" w:type="dxa"/>
            <w:shd w:val="clear" w:color="auto" w:fill="auto"/>
            <w:noWrap/>
            <w:vAlign w:val="center"/>
            <w:hideMark/>
          </w:tcPr>
          <w:p w14:paraId="55E843AF"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6939</w:t>
            </w:r>
          </w:p>
        </w:tc>
        <w:tc>
          <w:tcPr>
            <w:tcW w:w="1134" w:type="dxa"/>
            <w:shd w:val="clear" w:color="auto" w:fill="auto"/>
            <w:noWrap/>
            <w:vAlign w:val="center"/>
            <w:hideMark/>
          </w:tcPr>
          <w:p w14:paraId="4A7972E1"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9857</w:t>
            </w:r>
          </w:p>
        </w:tc>
        <w:tc>
          <w:tcPr>
            <w:tcW w:w="936" w:type="dxa"/>
            <w:shd w:val="clear" w:color="auto" w:fill="auto"/>
            <w:noWrap/>
            <w:vAlign w:val="center"/>
            <w:hideMark/>
          </w:tcPr>
          <w:p w14:paraId="30390791"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-2918</w:t>
            </w:r>
          </w:p>
        </w:tc>
        <w:tc>
          <w:tcPr>
            <w:tcW w:w="1332" w:type="dxa"/>
            <w:shd w:val="clear" w:color="auto" w:fill="auto"/>
            <w:noWrap/>
            <w:vAlign w:val="center"/>
            <w:hideMark/>
          </w:tcPr>
          <w:p w14:paraId="16E419C0"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-29,60%</w:t>
            </w:r>
          </w:p>
        </w:tc>
      </w:tr>
      <w:tr w:rsidR="00FD1033" w:rsidRPr="00AF79C9" w14:paraId="72A97C27" w14:textId="77777777" w:rsidTr="004B1A94">
        <w:trPr>
          <w:trHeight w:val="60"/>
          <w:jc w:val="center"/>
        </w:trPr>
        <w:tc>
          <w:tcPr>
            <w:tcW w:w="4268" w:type="dxa"/>
            <w:shd w:val="clear" w:color="auto" w:fill="auto"/>
            <w:hideMark/>
          </w:tcPr>
          <w:p w14:paraId="2683E5EF" w14:textId="629165B7" w:rsidR="00FD1033" w:rsidRPr="00AF79C9" w:rsidRDefault="00FD1033">
            <w:pPr>
              <w:rPr>
                <w:rFonts w:ascii="Bookman Old Style" w:hAnsi="Bookman Old Style" w:cs="Calibri"/>
                <w:color w:val="000000"/>
                <w:sz w:val="16"/>
                <w:szCs w:val="16"/>
                <w:lang w:val="uk-UA"/>
              </w:rPr>
            </w:pPr>
            <w:r w:rsidRPr="009E526A">
              <w:rPr>
                <w:rFonts w:ascii="Bookman Old Style" w:hAnsi="Bookman Old Style"/>
                <w:sz w:val="16"/>
                <w:szCs w:val="16"/>
                <w:lang w:val="en-US"/>
              </w:rPr>
              <w:t>Net interest income</w:t>
            </w:r>
          </w:p>
        </w:tc>
        <w:tc>
          <w:tcPr>
            <w:tcW w:w="1085" w:type="dxa"/>
            <w:shd w:val="clear" w:color="auto" w:fill="auto"/>
            <w:noWrap/>
            <w:vAlign w:val="center"/>
            <w:hideMark/>
          </w:tcPr>
          <w:p w14:paraId="2D18D991"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7038</w:t>
            </w:r>
          </w:p>
        </w:tc>
        <w:tc>
          <w:tcPr>
            <w:tcW w:w="1134" w:type="dxa"/>
            <w:shd w:val="clear" w:color="auto" w:fill="auto"/>
            <w:noWrap/>
            <w:vAlign w:val="center"/>
            <w:hideMark/>
          </w:tcPr>
          <w:p w14:paraId="2D5F5E0D"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1932</w:t>
            </w:r>
          </w:p>
        </w:tc>
        <w:tc>
          <w:tcPr>
            <w:tcW w:w="936" w:type="dxa"/>
            <w:shd w:val="clear" w:color="auto" w:fill="auto"/>
            <w:noWrap/>
            <w:vAlign w:val="center"/>
            <w:hideMark/>
          </w:tcPr>
          <w:p w14:paraId="3EA7F26A"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5106</w:t>
            </w:r>
          </w:p>
        </w:tc>
        <w:tc>
          <w:tcPr>
            <w:tcW w:w="1332" w:type="dxa"/>
            <w:shd w:val="clear" w:color="auto" w:fill="auto"/>
            <w:noWrap/>
            <w:vAlign w:val="center"/>
            <w:hideMark/>
          </w:tcPr>
          <w:p w14:paraId="4C0B903E"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264,29%</w:t>
            </w:r>
          </w:p>
        </w:tc>
      </w:tr>
      <w:tr w:rsidR="00FD1033" w:rsidRPr="00AF79C9" w14:paraId="2E380455" w14:textId="77777777" w:rsidTr="004B1A94">
        <w:trPr>
          <w:trHeight w:val="60"/>
          <w:jc w:val="center"/>
        </w:trPr>
        <w:tc>
          <w:tcPr>
            <w:tcW w:w="4268" w:type="dxa"/>
            <w:shd w:val="clear" w:color="auto" w:fill="auto"/>
            <w:hideMark/>
          </w:tcPr>
          <w:p w14:paraId="6B0CD801" w14:textId="0A702F9C" w:rsidR="00FD1033" w:rsidRPr="00AF79C9" w:rsidRDefault="00FD1033">
            <w:pPr>
              <w:rPr>
                <w:rFonts w:ascii="Bookman Old Style" w:hAnsi="Bookman Old Style" w:cs="Calibri"/>
                <w:color w:val="000000"/>
                <w:sz w:val="16"/>
                <w:szCs w:val="16"/>
                <w:lang w:val="uk-UA"/>
              </w:rPr>
            </w:pPr>
            <w:r w:rsidRPr="009E526A">
              <w:rPr>
                <w:rFonts w:ascii="Bookman Old Style" w:hAnsi="Bookman Old Style"/>
                <w:sz w:val="16"/>
                <w:szCs w:val="16"/>
                <w:lang w:val="en-US"/>
              </w:rPr>
              <w:t>Commission income</w:t>
            </w:r>
          </w:p>
        </w:tc>
        <w:tc>
          <w:tcPr>
            <w:tcW w:w="1085" w:type="dxa"/>
            <w:shd w:val="clear" w:color="auto" w:fill="auto"/>
            <w:noWrap/>
            <w:vAlign w:val="center"/>
            <w:hideMark/>
          </w:tcPr>
          <w:p w14:paraId="66C797AC"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9318</w:t>
            </w:r>
          </w:p>
        </w:tc>
        <w:tc>
          <w:tcPr>
            <w:tcW w:w="1134" w:type="dxa"/>
            <w:shd w:val="clear" w:color="auto" w:fill="auto"/>
            <w:noWrap/>
            <w:vAlign w:val="center"/>
            <w:hideMark/>
          </w:tcPr>
          <w:p w14:paraId="12127E53"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6423</w:t>
            </w:r>
          </w:p>
        </w:tc>
        <w:tc>
          <w:tcPr>
            <w:tcW w:w="936" w:type="dxa"/>
            <w:shd w:val="clear" w:color="auto" w:fill="auto"/>
            <w:noWrap/>
            <w:vAlign w:val="center"/>
            <w:hideMark/>
          </w:tcPr>
          <w:p w14:paraId="6A84EBA6"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2895</w:t>
            </w:r>
          </w:p>
        </w:tc>
        <w:tc>
          <w:tcPr>
            <w:tcW w:w="1332" w:type="dxa"/>
            <w:shd w:val="clear" w:color="auto" w:fill="auto"/>
            <w:noWrap/>
            <w:vAlign w:val="center"/>
            <w:hideMark/>
          </w:tcPr>
          <w:p w14:paraId="085133AC"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45,07%</w:t>
            </w:r>
          </w:p>
        </w:tc>
      </w:tr>
      <w:tr w:rsidR="00FD1033" w:rsidRPr="00AF79C9" w14:paraId="5A86C738" w14:textId="77777777" w:rsidTr="004B1A94">
        <w:trPr>
          <w:trHeight w:val="60"/>
          <w:jc w:val="center"/>
        </w:trPr>
        <w:tc>
          <w:tcPr>
            <w:tcW w:w="4268" w:type="dxa"/>
            <w:shd w:val="clear" w:color="auto" w:fill="auto"/>
            <w:hideMark/>
          </w:tcPr>
          <w:p w14:paraId="360B0938" w14:textId="69A29AD1" w:rsidR="00FD1033" w:rsidRPr="00AF79C9" w:rsidRDefault="00FD1033">
            <w:pPr>
              <w:rPr>
                <w:rFonts w:ascii="Bookman Old Style" w:hAnsi="Bookman Old Style" w:cs="Calibri"/>
                <w:color w:val="000000"/>
                <w:sz w:val="16"/>
                <w:szCs w:val="16"/>
                <w:lang w:val="uk-UA"/>
              </w:rPr>
            </w:pPr>
            <w:r w:rsidRPr="009E526A">
              <w:rPr>
                <w:rFonts w:ascii="Bookman Old Style" w:hAnsi="Bookman Old Style"/>
                <w:sz w:val="16"/>
                <w:szCs w:val="16"/>
                <w:lang w:val="en-US"/>
              </w:rPr>
              <w:t>Commission expenses</w:t>
            </w:r>
          </w:p>
        </w:tc>
        <w:tc>
          <w:tcPr>
            <w:tcW w:w="1085" w:type="dxa"/>
            <w:shd w:val="clear" w:color="auto" w:fill="auto"/>
            <w:noWrap/>
            <w:vAlign w:val="center"/>
            <w:hideMark/>
          </w:tcPr>
          <w:p w14:paraId="606D891A"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1991</w:t>
            </w:r>
          </w:p>
        </w:tc>
        <w:tc>
          <w:tcPr>
            <w:tcW w:w="1134" w:type="dxa"/>
            <w:shd w:val="clear" w:color="auto" w:fill="auto"/>
            <w:noWrap/>
            <w:vAlign w:val="center"/>
            <w:hideMark/>
          </w:tcPr>
          <w:p w14:paraId="65318987"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1347</w:t>
            </w:r>
          </w:p>
        </w:tc>
        <w:tc>
          <w:tcPr>
            <w:tcW w:w="936" w:type="dxa"/>
            <w:shd w:val="clear" w:color="auto" w:fill="auto"/>
            <w:noWrap/>
            <w:vAlign w:val="center"/>
            <w:hideMark/>
          </w:tcPr>
          <w:p w14:paraId="3875ED24"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644</w:t>
            </w:r>
          </w:p>
        </w:tc>
        <w:tc>
          <w:tcPr>
            <w:tcW w:w="1332" w:type="dxa"/>
            <w:shd w:val="clear" w:color="auto" w:fill="auto"/>
            <w:noWrap/>
            <w:vAlign w:val="center"/>
            <w:hideMark/>
          </w:tcPr>
          <w:p w14:paraId="1F17438A"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47,81%</w:t>
            </w:r>
          </w:p>
        </w:tc>
      </w:tr>
      <w:tr w:rsidR="00FD1033" w:rsidRPr="00AF79C9" w14:paraId="72D42D99" w14:textId="77777777" w:rsidTr="000F65D1">
        <w:trPr>
          <w:trHeight w:val="60"/>
          <w:jc w:val="center"/>
        </w:trPr>
        <w:tc>
          <w:tcPr>
            <w:tcW w:w="4268" w:type="dxa"/>
            <w:shd w:val="clear" w:color="auto" w:fill="auto"/>
            <w:hideMark/>
          </w:tcPr>
          <w:p w14:paraId="7F95911F" w14:textId="5BDF9217" w:rsidR="00FD1033" w:rsidRPr="00AF79C9" w:rsidRDefault="00FD1033">
            <w:pPr>
              <w:rPr>
                <w:rFonts w:ascii="Bookman Old Style" w:hAnsi="Bookman Old Style" w:cs="Calibri"/>
                <w:color w:val="000000"/>
                <w:sz w:val="16"/>
                <w:szCs w:val="16"/>
                <w:lang w:val="uk-UA"/>
              </w:rPr>
            </w:pPr>
            <w:r w:rsidRPr="009E526A">
              <w:rPr>
                <w:rFonts w:ascii="Bookman Old Style" w:hAnsi="Bookman Old Style"/>
                <w:sz w:val="16"/>
                <w:szCs w:val="16"/>
                <w:lang w:val="en-US"/>
              </w:rPr>
              <w:t>Administrative and other operating expenses</w:t>
            </w:r>
          </w:p>
        </w:tc>
        <w:tc>
          <w:tcPr>
            <w:tcW w:w="1085" w:type="dxa"/>
            <w:shd w:val="clear" w:color="auto" w:fill="auto"/>
            <w:noWrap/>
            <w:vAlign w:val="center"/>
            <w:hideMark/>
          </w:tcPr>
          <w:p w14:paraId="27ED540A"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5791</w:t>
            </w:r>
          </w:p>
        </w:tc>
        <w:tc>
          <w:tcPr>
            <w:tcW w:w="1134" w:type="dxa"/>
            <w:shd w:val="clear" w:color="auto" w:fill="auto"/>
            <w:noWrap/>
            <w:vAlign w:val="center"/>
            <w:hideMark/>
          </w:tcPr>
          <w:p w14:paraId="56BDCE2F"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4631</w:t>
            </w:r>
          </w:p>
        </w:tc>
        <w:tc>
          <w:tcPr>
            <w:tcW w:w="936" w:type="dxa"/>
            <w:shd w:val="clear" w:color="auto" w:fill="auto"/>
            <w:noWrap/>
            <w:vAlign w:val="center"/>
            <w:hideMark/>
          </w:tcPr>
          <w:p w14:paraId="4A9BD703"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1160</w:t>
            </w:r>
          </w:p>
        </w:tc>
        <w:tc>
          <w:tcPr>
            <w:tcW w:w="1332" w:type="dxa"/>
            <w:shd w:val="clear" w:color="auto" w:fill="auto"/>
            <w:noWrap/>
            <w:vAlign w:val="center"/>
            <w:hideMark/>
          </w:tcPr>
          <w:p w14:paraId="5794642E"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25,05%</w:t>
            </w:r>
          </w:p>
        </w:tc>
      </w:tr>
      <w:tr w:rsidR="00FD1033" w:rsidRPr="00AF79C9" w14:paraId="47C03725" w14:textId="77777777" w:rsidTr="000F65D1">
        <w:trPr>
          <w:trHeight w:val="60"/>
          <w:jc w:val="center"/>
        </w:trPr>
        <w:tc>
          <w:tcPr>
            <w:tcW w:w="4268" w:type="dxa"/>
            <w:shd w:val="clear" w:color="auto" w:fill="auto"/>
            <w:hideMark/>
          </w:tcPr>
          <w:p w14:paraId="50E62E35" w14:textId="7A0EB42B" w:rsidR="00FD1033" w:rsidRPr="00AF79C9" w:rsidRDefault="00FD1033">
            <w:pPr>
              <w:rPr>
                <w:rFonts w:ascii="Bookman Old Style" w:hAnsi="Bookman Old Style" w:cs="Calibri"/>
                <w:color w:val="000000"/>
                <w:sz w:val="16"/>
                <w:szCs w:val="16"/>
                <w:lang w:val="uk-UA"/>
              </w:rPr>
            </w:pPr>
            <w:r w:rsidRPr="009E526A">
              <w:rPr>
                <w:rFonts w:ascii="Bookman Old Style" w:hAnsi="Bookman Old Style"/>
                <w:sz w:val="16"/>
                <w:szCs w:val="16"/>
                <w:lang w:val="en-US"/>
              </w:rPr>
              <w:t>Profit / (loss)</w:t>
            </w:r>
          </w:p>
        </w:tc>
        <w:tc>
          <w:tcPr>
            <w:tcW w:w="1085" w:type="dxa"/>
            <w:shd w:val="clear" w:color="auto" w:fill="auto"/>
            <w:noWrap/>
            <w:vAlign w:val="center"/>
            <w:hideMark/>
          </w:tcPr>
          <w:p w14:paraId="29878930"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6926</w:t>
            </w:r>
          </w:p>
        </w:tc>
        <w:tc>
          <w:tcPr>
            <w:tcW w:w="1134" w:type="dxa"/>
            <w:shd w:val="clear" w:color="auto" w:fill="auto"/>
            <w:noWrap/>
            <w:vAlign w:val="center"/>
            <w:hideMark/>
          </w:tcPr>
          <w:p w14:paraId="4FA6B96C"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-2908</w:t>
            </w:r>
          </w:p>
        </w:tc>
        <w:tc>
          <w:tcPr>
            <w:tcW w:w="936" w:type="dxa"/>
            <w:shd w:val="clear" w:color="auto" w:fill="auto"/>
            <w:noWrap/>
            <w:vAlign w:val="center"/>
            <w:hideMark/>
          </w:tcPr>
          <w:p w14:paraId="4A244CE9" w14:textId="77777777" w:rsidR="00FD1033" w:rsidRPr="00AF79C9" w:rsidRDefault="00FD1033">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9834</w:t>
            </w:r>
          </w:p>
        </w:tc>
        <w:tc>
          <w:tcPr>
            <w:tcW w:w="1332" w:type="dxa"/>
            <w:shd w:val="clear" w:color="auto" w:fill="auto"/>
            <w:noWrap/>
            <w:vAlign w:val="center"/>
            <w:hideMark/>
          </w:tcPr>
          <w:p w14:paraId="6DA756F7" w14:textId="59EC35F5" w:rsidR="00FD1033" w:rsidRPr="00AF79C9" w:rsidRDefault="00FD1033" w:rsidP="00B971F6">
            <w:pPr>
              <w:jc w:val="right"/>
              <w:rPr>
                <w:rFonts w:ascii="Bookman Old Style" w:hAnsi="Bookman Old Style" w:cs="Calibri"/>
                <w:color w:val="000000"/>
                <w:sz w:val="16"/>
                <w:szCs w:val="16"/>
                <w:lang w:val="uk-UA"/>
              </w:rPr>
            </w:pPr>
            <w:r w:rsidRPr="00AF79C9">
              <w:rPr>
                <w:rFonts w:ascii="Bookman Old Style" w:hAnsi="Bookman Old Style" w:cs="Calibri"/>
                <w:color w:val="000000"/>
                <w:sz w:val="16"/>
                <w:szCs w:val="16"/>
                <w:lang w:val="uk-UA"/>
              </w:rPr>
              <w:t>-</w:t>
            </w:r>
          </w:p>
        </w:tc>
      </w:tr>
    </w:tbl>
    <w:p w14:paraId="5AA5E55A" w14:textId="52461BF7" w:rsidR="00E1305F" w:rsidRPr="00AF79C9" w:rsidRDefault="007773CA" w:rsidP="00E1305F">
      <w:pPr>
        <w:rPr>
          <w:rFonts w:ascii="Bookman Old Style" w:hAnsi="Bookman Old Style"/>
          <w:sz w:val="20"/>
          <w:szCs w:val="20"/>
          <w:lang w:val="uk-UA"/>
        </w:rPr>
      </w:pPr>
      <w:r>
        <w:rPr>
          <w:rFonts w:ascii="Bookman Old Style" w:hAnsi="Bookman Old Style"/>
          <w:i/>
          <w:sz w:val="20"/>
          <w:szCs w:val="20"/>
          <w:lang w:val="en-US"/>
        </w:rPr>
        <w:t>Source</w:t>
      </w:r>
      <w:r w:rsidRPr="00061C7C">
        <w:rPr>
          <w:rFonts w:ascii="Bookman Old Style" w:hAnsi="Bookman Old Style"/>
          <w:sz w:val="20"/>
          <w:szCs w:val="20"/>
          <w:lang w:val="uk-UA"/>
        </w:rPr>
        <w:t xml:space="preserve">: </w:t>
      </w:r>
      <w:r>
        <w:rPr>
          <w:rFonts w:ascii="Bookman Old Style" w:hAnsi="Bookman Old Style"/>
          <w:sz w:val="20"/>
          <w:szCs w:val="20"/>
          <w:lang w:val="en-US"/>
        </w:rPr>
        <w:t>Bank</w:t>
      </w:r>
      <w:r w:rsidRPr="007C780A">
        <w:rPr>
          <w:rFonts w:ascii="Bookman Old Style" w:hAnsi="Bookman Old Style"/>
          <w:sz w:val="20"/>
          <w:szCs w:val="20"/>
          <w:lang w:val="uk-UA"/>
        </w:rPr>
        <w:t>’</w:t>
      </w:r>
      <w:r>
        <w:rPr>
          <w:rFonts w:ascii="Bookman Old Style" w:hAnsi="Bookman Old Style"/>
          <w:sz w:val="20"/>
          <w:szCs w:val="20"/>
          <w:lang w:val="en-US"/>
        </w:rPr>
        <w:t>s</w:t>
      </w:r>
      <w:r w:rsidRPr="007C780A">
        <w:rPr>
          <w:rFonts w:ascii="Bookman Old Style" w:hAnsi="Bookman Old Style"/>
          <w:sz w:val="20"/>
          <w:szCs w:val="20"/>
          <w:lang w:val="uk-UA"/>
        </w:rPr>
        <w:t xml:space="preserve"> </w:t>
      </w:r>
      <w:r>
        <w:rPr>
          <w:rFonts w:ascii="Bookman Old Style" w:hAnsi="Bookman Old Style"/>
          <w:sz w:val="20"/>
          <w:szCs w:val="20"/>
          <w:lang w:val="en-US"/>
        </w:rPr>
        <w:t>statements</w:t>
      </w:r>
      <w:r w:rsidRPr="007C780A">
        <w:rPr>
          <w:rFonts w:ascii="Bookman Old Style" w:hAnsi="Bookman Old Style"/>
          <w:sz w:val="20"/>
          <w:szCs w:val="20"/>
          <w:lang w:val="uk-UA"/>
        </w:rPr>
        <w:t xml:space="preserve"> </w:t>
      </w:r>
      <w:r>
        <w:rPr>
          <w:rFonts w:ascii="Bookman Old Style" w:hAnsi="Bookman Old Style"/>
          <w:sz w:val="20"/>
          <w:szCs w:val="20"/>
          <w:lang w:val="en-US"/>
        </w:rPr>
        <w:t>according</w:t>
      </w:r>
      <w:r w:rsidRPr="007C780A">
        <w:rPr>
          <w:rFonts w:ascii="Bookman Old Style" w:hAnsi="Bookman Old Style"/>
          <w:sz w:val="20"/>
          <w:szCs w:val="20"/>
          <w:lang w:val="uk-UA"/>
        </w:rPr>
        <w:t xml:space="preserve"> </w:t>
      </w:r>
      <w:r>
        <w:rPr>
          <w:rFonts w:ascii="Bookman Old Style" w:hAnsi="Bookman Old Style"/>
          <w:sz w:val="20"/>
          <w:szCs w:val="20"/>
          <w:lang w:val="en-US"/>
        </w:rPr>
        <w:t>to</w:t>
      </w:r>
      <w:r w:rsidRPr="007C780A">
        <w:rPr>
          <w:rFonts w:ascii="Bookman Old Style" w:hAnsi="Bookman Old Style"/>
          <w:sz w:val="20"/>
          <w:szCs w:val="20"/>
          <w:lang w:val="uk-UA"/>
        </w:rPr>
        <w:t xml:space="preserve"> </w:t>
      </w:r>
      <w:r>
        <w:rPr>
          <w:rFonts w:ascii="Bookman Old Style" w:hAnsi="Bookman Old Style"/>
          <w:sz w:val="20"/>
          <w:szCs w:val="20"/>
          <w:lang w:val="en-US"/>
        </w:rPr>
        <w:t>NBU</w:t>
      </w:r>
      <w:r w:rsidRPr="007C780A">
        <w:rPr>
          <w:rFonts w:ascii="Bookman Old Style" w:hAnsi="Bookman Old Style"/>
          <w:sz w:val="20"/>
          <w:szCs w:val="20"/>
          <w:lang w:val="uk-UA"/>
        </w:rPr>
        <w:t xml:space="preserve"> </w:t>
      </w:r>
      <w:r>
        <w:rPr>
          <w:rFonts w:ascii="Bookman Old Style" w:hAnsi="Bookman Old Style"/>
          <w:sz w:val="20"/>
          <w:szCs w:val="20"/>
          <w:lang w:val="en-US"/>
        </w:rPr>
        <w:t>data</w:t>
      </w:r>
      <w:r w:rsidRPr="00AF79C9">
        <w:rPr>
          <w:rFonts w:ascii="Bookman Old Style" w:hAnsi="Bookman Old Style"/>
          <w:sz w:val="20"/>
          <w:szCs w:val="20"/>
          <w:lang w:val="uk-UA"/>
        </w:rPr>
        <w:t xml:space="preserve"> </w:t>
      </w:r>
    </w:p>
    <w:p w14:paraId="295C813F" w14:textId="77777777" w:rsidR="00164B39" w:rsidRPr="00AF79C9" w:rsidRDefault="00164B39" w:rsidP="00164B39">
      <w:pPr>
        <w:rPr>
          <w:rFonts w:ascii="Bookman Old Style" w:hAnsi="Bookman Old Style"/>
          <w:sz w:val="20"/>
          <w:szCs w:val="20"/>
          <w:lang w:val="uk-UA"/>
        </w:rPr>
      </w:pPr>
    </w:p>
    <w:p w14:paraId="5CD7064E" w14:textId="03A79228" w:rsidR="00164B39" w:rsidRPr="00AF79C9" w:rsidRDefault="00135037" w:rsidP="004C7F03">
      <w:pPr>
        <w:ind w:firstLine="708"/>
        <w:jc w:val="both"/>
        <w:rPr>
          <w:rFonts w:ascii="Bookman Old Style" w:hAnsi="Bookman Old Style"/>
          <w:sz w:val="20"/>
          <w:szCs w:val="20"/>
          <w:lang w:val="uk-UA"/>
        </w:rPr>
      </w:pPr>
      <w:r>
        <w:rPr>
          <w:rFonts w:ascii="Bookman Old Style" w:hAnsi="Bookman Old Style"/>
          <w:sz w:val="20"/>
          <w:szCs w:val="20"/>
          <w:lang w:val="en-US"/>
        </w:rPr>
        <w:t>The Agency</w:t>
      </w:r>
      <w:r>
        <w:rPr>
          <w:rFonts w:ascii="Bookman Old Style" w:hAnsi="Bookman Old Style"/>
          <w:sz w:val="20"/>
          <w:szCs w:val="20"/>
          <w:lang w:val="en-US"/>
        </w:rPr>
        <w:t xml:space="preserve"> appreciates the Bank’s return to profitable activity and notes </w:t>
      </w:r>
      <w:r w:rsidRPr="00135037">
        <w:rPr>
          <w:rFonts w:ascii="Bookman Old Style" w:hAnsi="Bookman Old Style"/>
          <w:sz w:val="20"/>
          <w:szCs w:val="20"/>
          <w:lang w:val="en-US"/>
        </w:rPr>
        <w:t xml:space="preserve">the weakening of the Bank's dependence on the support of its shareholder </w:t>
      </w:r>
      <w:r>
        <w:rPr>
          <w:rFonts w:ascii="Bookman Old Style" w:hAnsi="Bookman Old Style"/>
          <w:sz w:val="20"/>
          <w:szCs w:val="20"/>
          <w:lang w:val="en-US"/>
        </w:rPr>
        <w:t>–</w:t>
      </w:r>
      <w:r w:rsidRPr="00135037">
        <w:rPr>
          <w:rFonts w:ascii="Bookman Old Style" w:hAnsi="Bookman Old Style"/>
          <w:sz w:val="20"/>
          <w:szCs w:val="20"/>
          <w:lang w:val="en-US"/>
        </w:rPr>
        <w:t xml:space="preserve"> the State of Ukraine </w:t>
      </w:r>
      <w:r w:rsidRPr="00866D86">
        <w:rPr>
          <w:rFonts w:ascii="Bookman Old Style" w:hAnsi="Bookman Old Style"/>
          <w:sz w:val="20"/>
          <w:szCs w:val="20"/>
          <w:lang w:val="en-US"/>
        </w:rPr>
        <w:t xml:space="preserve">represented by </w:t>
      </w:r>
      <w:r w:rsidRPr="00135037">
        <w:rPr>
          <w:rFonts w:ascii="Bookman Old Style" w:hAnsi="Bookman Old Style"/>
          <w:sz w:val="20"/>
          <w:szCs w:val="20"/>
          <w:lang w:val="en-US"/>
        </w:rPr>
        <w:t>the Ministry of Finance.</w:t>
      </w:r>
      <w:r>
        <w:rPr>
          <w:rFonts w:ascii="Bookman Old Style" w:hAnsi="Bookman Old Style"/>
          <w:sz w:val="20"/>
          <w:szCs w:val="20"/>
          <w:lang w:val="en-US"/>
        </w:rPr>
        <w:t xml:space="preserve"> </w:t>
      </w:r>
      <w:r>
        <w:rPr>
          <w:rFonts w:ascii="Bookman Old Style" w:hAnsi="Bookman Old Style"/>
          <w:sz w:val="20"/>
          <w:szCs w:val="20"/>
          <w:lang w:val="en-US"/>
        </w:rPr>
        <w:t xml:space="preserve"> </w:t>
      </w:r>
    </w:p>
    <w:p w14:paraId="4019D5EC" w14:textId="77777777" w:rsidR="003D1FFD" w:rsidRPr="00AF79C9" w:rsidRDefault="003D1FFD" w:rsidP="00DC619D">
      <w:pPr>
        <w:pStyle w:val="Default"/>
        <w:jc w:val="both"/>
        <w:rPr>
          <w:rFonts w:ascii="Bookman Old Style" w:hAnsi="Bookman Old Style"/>
          <w:sz w:val="20"/>
          <w:szCs w:val="20"/>
          <w:lang w:val="uk-UA"/>
        </w:rPr>
      </w:pPr>
    </w:p>
    <w:p w14:paraId="3A3094AE" w14:textId="07378302" w:rsidR="003D1FFD" w:rsidRPr="00AF79C9" w:rsidRDefault="003D1FFD" w:rsidP="00DC619D">
      <w:pPr>
        <w:pStyle w:val="Default"/>
        <w:jc w:val="both"/>
        <w:rPr>
          <w:rFonts w:ascii="Bookman Old Style" w:hAnsi="Bookman Old Style"/>
          <w:b/>
          <w:sz w:val="20"/>
          <w:szCs w:val="20"/>
          <w:lang w:val="uk-UA"/>
        </w:rPr>
      </w:pPr>
      <w:r w:rsidRPr="00AF79C9">
        <w:rPr>
          <w:rFonts w:ascii="Bookman Old Style" w:hAnsi="Bookman Old Style"/>
          <w:b/>
          <w:sz w:val="20"/>
          <w:szCs w:val="20"/>
          <w:lang w:val="uk-UA"/>
        </w:rPr>
        <w:tab/>
      </w:r>
      <w:r w:rsidR="00A24D48">
        <w:rPr>
          <w:rFonts w:ascii="Bookman Old Style" w:hAnsi="Bookman Old Style"/>
          <w:b/>
          <w:sz w:val="20"/>
          <w:szCs w:val="20"/>
          <w:lang w:val="en-US"/>
        </w:rPr>
        <w:t>Other factors</w:t>
      </w:r>
    </w:p>
    <w:p w14:paraId="74C497CC" w14:textId="59F497B8" w:rsidR="0056717D" w:rsidRPr="00AF79C9" w:rsidRDefault="00630095" w:rsidP="0056717D">
      <w:pPr>
        <w:pStyle w:val="Default"/>
        <w:ind w:firstLine="708"/>
        <w:jc w:val="both"/>
        <w:rPr>
          <w:rFonts w:ascii="Bookman Old Style" w:hAnsi="Bookman Old Style"/>
          <w:sz w:val="20"/>
          <w:szCs w:val="20"/>
          <w:lang w:val="uk-UA"/>
        </w:rPr>
      </w:pPr>
      <w:r>
        <w:rPr>
          <w:rFonts w:ascii="Bookman Old Style" w:hAnsi="Bookman Old Style"/>
          <w:sz w:val="20"/>
          <w:szCs w:val="20"/>
          <w:lang w:val="en-US"/>
        </w:rPr>
        <w:t>JSC</w:t>
      </w:r>
      <w:r w:rsidRPr="005D36D5">
        <w:rPr>
          <w:rFonts w:ascii="Bookman Old Style" w:hAnsi="Bookman Old Style"/>
          <w:sz w:val="20"/>
          <w:szCs w:val="20"/>
          <w:lang w:val="uk-UA"/>
        </w:rPr>
        <w:t xml:space="preserve"> “</w:t>
      </w:r>
      <w:r>
        <w:rPr>
          <w:rFonts w:ascii="Bookman Old Style" w:hAnsi="Bookman Old Style"/>
          <w:sz w:val="20"/>
          <w:szCs w:val="20"/>
          <w:lang w:val="en-US"/>
        </w:rPr>
        <w:t>CB</w:t>
      </w:r>
      <w:r w:rsidRPr="005D36D5">
        <w:rPr>
          <w:rFonts w:ascii="Bookman Old Style" w:hAnsi="Bookman Old Style"/>
          <w:sz w:val="20"/>
          <w:szCs w:val="20"/>
          <w:lang w:val="uk-UA"/>
        </w:rPr>
        <w:t xml:space="preserve"> “</w:t>
      </w:r>
      <w:r>
        <w:rPr>
          <w:rFonts w:ascii="Bookman Old Style" w:hAnsi="Bookman Old Style"/>
          <w:sz w:val="20"/>
          <w:szCs w:val="20"/>
          <w:lang w:val="en-US"/>
        </w:rPr>
        <w:t>PRIVATBANK</w:t>
      </w:r>
      <w:r>
        <w:rPr>
          <w:rFonts w:ascii="Bookman Old Style" w:hAnsi="Bookman Old Style"/>
          <w:sz w:val="20"/>
          <w:szCs w:val="20"/>
          <w:lang w:val="uk-UA"/>
        </w:rPr>
        <w:t>”</w:t>
      </w:r>
      <w:r>
        <w:rPr>
          <w:rFonts w:ascii="Bookman Old Style" w:hAnsi="Bookman Old Style"/>
          <w:sz w:val="20"/>
          <w:szCs w:val="20"/>
          <w:lang w:val="en-US"/>
        </w:rPr>
        <w:t xml:space="preserve"> </w:t>
      </w:r>
      <w:r>
        <w:rPr>
          <w:rFonts w:ascii="Bookman Old Style" w:hAnsi="Bookman Old Style"/>
          <w:sz w:val="20"/>
          <w:szCs w:val="20"/>
          <w:lang w:val="en-US"/>
        </w:rPr>
        <w:t>due to</w:t>
      </w:r>
      <w:r>
        <w:rPr>
          <w:rFonts w:ascii="Bookman Old Style" w:hAnsi="Bookman Old Style"/>
          <w:sz w:val="20"/>
          <w:szCs w:val="20"/>
          <w:lang w:val="en-US"/>
        </w:rPr>
        <w:t xml:space="preserve"> the scales of its activity </w:t>
      </w:r>
      <w:r w:rsidRPr="00A60FD8">
        <w:rPr>
          <w:rFonts w:ascii="Bookman Old Style" w:hAnsi="Bookman Old Style"/>
          <w:sz w:val="20"/>
          <w:szCs w:val="20"/>
          <w:u w:val="single"/>
          <w:lang w:val="en-US"/>
        </w:rPr>
        <w:t>continues to remain a strategic interest of the State Ukraine</w:t>
      </w:r>
      <w:r>
        <w:rPr>
          <w:rFonts w:ascii="Bookman Old Style" w:hAnsi="Bookman Old Style"/>
          <w:sz w:val="20"/>
          <w:szCs w:val="20"/>
          <w:lang w:val="en-US"/>
        </w:rPr>
        <w:t>. The state’s participation in the equity of PJSC</w:t>
      </w:r>
      <w:r w:rsidRPr="005D36D5">
        <w:rPr>
          <w:rFonts w:ascii="Bookman Old Style" w:hAnsi="Bookman Old Style"/>
          <w:sz w:val="20"/>
          <w:szCs w:val="20"/>
          <w:lang w:val="uk-UA"/>
        </w:rPr>
        <w:t xml:space="preserve"> “</w:t>
      </w:r>
      <w:r>
        <w:rPr>
          <w:rFonts w:ascii="Bookman Old Style" w:hAnsi="Bookman Old Style"/>
          <w:sz w:val="20"/>
          <w:szCs w:val="20"/>
          <w:lang w:val="en-US"/>
        </w:rPr>
        <w:t>CB</w:t>
      </w:r>
      <w:r w:rsidRPr="005D36D5">
        <w:rPr>
          <w:rFonts w:ascii="Bookman Old Style" w:hAnsi="Bookman Old Style"/>
          <w:sz w:val="20"/>
          <w:szCs w:val="20"/>
          <w:lang w:val="uk-UA"/>
        </w:rPr>
        <w:t xml:space="preserve"> “</w:t>
      </w:r>
      <w:r>
        <w:rPr>
          <w:rFonts w:ascii="Bookman Old Style" w:hAnsi="Bookman Old Style"/>
          <w:sz w:val="20"/>
          <w:szCs w:val="20"/>
          <w:lang w:val="en-US"/>
        </w:rPr>
        <w:t>PRIVATBANK</w:t>
      </w:r>
      <w:r>
        <w:rPr>
          <w:rFonts w:ascii="Bookman Old Style" w:hAnsi="Bookman Old Style"/>
          <w:sz w:val="20"/>
          <w:szCs w:val="20"/>
          <w:lang w:val="uk-UA"/>
        </w:rPr>
        <w:t>”</w:t>
      </w:r>
      <w:r>
        <w:rPr>
          <w:rFonts w:ascii="Bookman Old Style" w:hAnsi="Bookman Old Style"/>
          <w:sz w:val="20"/>
          <w:szCs w:val="20"/>
          <w:lang w:val="en-US"/>
        </w:rPr>
        <w:t xml:space="preserve"> provides the basis for a stable functioning of the</w:t>
      </w:r>
      <w:r>
        <w:rPr>
          <w:rFonts w:ascii="Bookman Old Style" w:hAnsi="Bookman Old Style"/>
          <w:sz w:val="20"/>
          <w:szCs w:val="20"/>
          <w:lang w:val="en-US"/>
        </w:rPr>
        <w:t xml:space="preserve"> domestic</w:t>
      </w:r>
      <w:r>
        <w:rPr>
          <w:rFonts w:ascii="Bookman Old Style" w:hAnsi="Bookman Old Style"/>
          <w:sz w:val="20"/>
          <w:szCs w:val="20"/>
          <w:lang w:val="en-US"/>
        </w:rPr>
        <w:t xml:space="preserve"> banking system. </w:t>
      </w:r>
    </w:p>
    <w:p w14:paraId="35005CFA" w14:textId="77777777" w:rsidR="0056717D" w:rsidRPr="00AF79C9" w:rsidRDefault="0056717D" w:rsidP="0056717D">
      <w:pPr>
        <w:pStyle w:val="Default"/>
        <w:jc w:val="both"/>
        <w:rPr>
          <w:rFonts w:ascii="Bookman Old Style" w:hAnsi="Bookman Old Style"/>
          <w:sz w:val="20"/>
          <w:szCs w:val="20"/>
          <w:lang w:val="uk-UA"/>
        </w:rPr>
      </w:pPr>
    </w:p>
    <w:p w14:paraId="69FBC400" w14:textId="194E869E" w:rsidR="0056717D" w:rsidRPr="00AF79C9" w:rsidRDefault="0056717D" w:rsidP="0056717D">
      <w:pPr>
        <w:pStyle w:val="Default"/>
        <w:jc w:val="both"/>
        <w:rPr>
          <w:rFonts w:ascii="Bookman Old Style" w:hAnsi="Bookman Old Style"/>
          <w:sz w:val="20"/>
          <w:szCs w:val="20"/>
          <w:lang w:val="uk-UA"/>
        </w:rPr>
      </w:pPr>
      <w:r w:rsidRPr="00AF79C9">
        <w:rPr>
          <w:rFonts w:ascii="Bookman Old Style" w:hAnsi="Bookman Old Style"/>
          <w:sz w:val="20"/>
          <w:szCs w:val="20"/>
          <w:lang w:val="uk-UA"/>
        </w:rPr>
        <w:tab/>
      </w:r>
      <w:proofErr w:type="spellStart"/>
      <w:r w:rsidR="00560E46" w:rsidRPr="009E0CE9">
        <w:rPr>
          <w:rFonts w:ascii="Bookman Old Style" w:hAnsi="Bookman Old Style"/>
          <w:sz w:val="20"/>
          <w:szCs w:val="20"/>
          <w:lang w:val="uk-UA"/>
        </w:rPr>
        <w:t>The</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analysis</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of</w:t>
      </w:r>
      <w:proofErr w:type="spellEnd"/>
      <w:r w:rsidR="00560E46" w:rsidRPr="009E0CE9">
        <w:rPr>
          <w:rFonts w:ascii="Bookman Old Style" w:hAnsi="Bookman Old Style"/>
          <w:sz w:val="20"/>
          <w:szCs w:val="20"/>
          <w:lang w:val="uk-UA"/>
        </w:rPr>
        <w:t xml:space="preserve"> </w:t>
      </w:r>
      <w:r w:rsidR="00560E46">
        <w:rPr>
          <w:rFonts w:ascii="Bookman Old Style" w:hAnsi="Bookman Old Style"/>
          <w:sz w:val="20"/>
          <w:szCs w:val="20"/>
          <w:lang w:val="en-US"/>
        </w:rPr>
        <w:t>court disputes</w:t>
      </w:r>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that</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continues</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around</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the</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procedure</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for</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nationalization</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of</w:t>
      </w:r>
      <w:proofErr w:type="spellEnd"/>
      <w:r w:rsidR="00560E46" w:rsidRPr="009E0CE9">
        <w:rPr>
          <w:rFonts w:ascii="Bookman Old Style" w:hAnsi="Bookman Old Style"/>
          <w:sz w:val="20"/>
          <w:szCs w:val="20"/>
          <w:lang w:val="uk-UA"/>
        </w:rPr>
        <w:t xml:space="preserve"> PJSC CB "PRIVATBANK" </w:t>
      </w:r>
      <w:proofErr w:type="spellStart"/>
      <w:r w:rsidR="00560E46" w:rsidRPr="009E0CE9">
        <w:rPr>
          <w:rFonts w:ascii="Bookman Old Style" w:hAnsi="Bookman Old Style"/>
          <w:sz w:val="20"/>
          <w:szCs w:val="20"/>
          <w:lang w:val="uk-UA"/>
        </w:rPr>
        <w:t>has</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shown</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that</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in</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most</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cases</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the</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main</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claims</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of</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plaintiffs</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concern</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the</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procedure</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for</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nationalization</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and</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recognition</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of</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the</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circle</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of</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related</w:t>
      </w:r>
      <w:proofErr w:type="spellEnd"/>
      <w:r w:rsidR="00560E46" w:rsidRPr="009E0CE9">
        <w:rPr>
          <w:rFonts w:ascii="Bookman Old Style" w:hAnsi="Bookman Old Style"/>
          <w:sz w:val="20"/>
          <w:szCs w:val="20"/>
          <w:lang w:val="uk-UA"/>
        </w:rPr>
        <w:t xml:space="preserve"> </w:t>
      </w:r>
      <w:proofErr w:type="spellStart"/>
      <w:r w:rsidR="00560E46" w:rsidRPr="009E0CE9">
        <w:rPr>
          <w:rFonts w:ascii="Bookman Old Style" w:hAnsi="Bookman Old Style"/>
          <w:sz w:val="20"/>
          <w:szCs w:val="20"/>
          <w:lang w:val="uk-UA"/>
        </w:rPr>
        <w:t>persons</w:t>
      </w:r>
      <w:proofErr w:type="spellEnd"/>
      <w:r w:rsidR="00560E46" w:rsidRPr="009E0CE9">
        <w:rPr>
          <w:rFonts w:ascii="Bookman Old Style" w:hAnsi="Bookman Old Style"/>
          <w:sz w:val="20"/>
          <w:szCs w:val="20"/>
          <w:lang w:val="uk-UA"/>
        </w:rPr>
        <w:t>.</w:t>
      </w:r>
      <w:r w:rsidR="00560E46">
        <w:rPr>
          <w:rFonts w:ascii="Bookman Old Style" w:hAnsi="Bookman Old Style"/>
          <w:sz w:val="20"/>
          <w:szCs w:val="20"/>
          <w:lang w:val="en-US"/>
        </w:rPr>
        <w:t xml:space="preserve"> </w:t>
      </w:r>
      <w:r w:rsidR="00560E46" w:rsidRPr="003F3583">
        <w:rPr>
          <w:rFonts w:ascii="Bookman Old Style" w:hAnsi="Bookman Old Style"/>
          <w:sz w:val="20"/>
          <w:szCs w:val="20"/>
          <w:lang w:val="en-US"/>
        </w:rPr>
        <w:t xml:space="preserve">As before, the Agency assumes that a part of </w:t>
      </w:r>
      <w:r w:rsidR="00560E46">
        <w:rPr>
          <w:rFonts w:ascii="Bookman Old Style" w:hAnsi="Bookman Old Style"/>
          <w:sz w:val="20"/>
          <w:szCs w:val="20"/>
          <w:lang w:val="en-US"/>
        </w:rPr>
        <w:t>court disputes</w:t>
      </w:r>
      <w:r w:rsidR="00560E46" w:rsidRPr="003F3583">
        <w:rPr>
          <w:rFonts w:ascii="Bookman Old Style" w:hAnsi="Bookman Old Style"/>
          <w:sz w:val="20"/>
          <w:szCs w:val="20"/>
          <w:lang w:val="en-US"/>
        </w:rPr>
        <w:t xml:space="preserve"> may create an additional burden on the Bank's liabilities, but the Bank has sufficient liquid funds and a guaranteed, verified in practice support from the shareholder so that the said risks do not affect its long-term credit rating.</w:t>
      </w:r>
      <w:r w:rsidR="00560E46">
        <w:rPr>
          <w:rFonts w:ascii="Bookman Old Style" w:hAnsi="Bookman Old Style"/>
          <w:sz w:val="20"/>
          <w:szCs w:val="20"/>
          <w:lang w:val="en-US"/>
        </w:rPr>
        <w:t xml:space="preserve"> </w:t>
      </w:r>
    </w:p>
    <w:p w14:paraId="7A9B2464" w14:textId="77777777" w:rsidR="0056717D" w:rsidRPr="00AF79C9" w:rsidRDefault="0056717D" w:rsidP="0056717D">
      <w:pPr>
        <w:pStyle w:val="Default"/>
        <w:jc w:val="both"/>
        <w:rPr>
          <w:rFonts w:ascii="Bookman Old Style" w:hAnsi="Bookman Old Style"/>
          <w:sz w:val="20"/>
          <w:szCs w:val="20"/>
          <w:lang w:val="uk-UA"/>
        </w:rPr>
      </w:pPr>
    </w:p>
    <w:p w14:paraId="2CCFFBDA" w14:textId="233EB159" w:rsidR="0056717D" w:rsidRPr="00AF79C9" w:rsidRDefault="0056717D" w:rsidP="0056717D">
      <w:pPr>
        <w:pStyle w:val="Default"/>
        <w:jc w:val="both"/>
        <w:rPr>
          <w:rFonts w:ascii="Bookman Old Style" w:hAnsi="Bookman Old Style"/>
          <w:sz w:val="20"/>
          <w:szCs w:val="20"/>
          <w:lang w:val="uk-UA"/>
        </w:rPr>
      </w:pPr>
      <w:r w:rsidRPr="00AF79C9">
        <w:rPr>
          <w:rFonts w:ascii="Bookman Old Style" w:hAnsi="Bookman Old Style"/>
          <w:sz w:val="20"/>
          <w:szCs w:val="20"/>
          <w:lang w:val="uk-UA"/>
        </w:rPr>
        <w:tab/>
      </w:r>
      <w:r w:rsidR="00C926EC">
        <w:rPr>
          <w:rFonts w:ascii="Bookman Old Style" w:hAnsi="Bookman Old Style"/>
          <w:sz w:val="20"/>
          <w:szCs w:val="20"/>
          <w:lang w:val="en-US"/>
        </w:rPr>
        <w:t>In</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addition</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the</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Agency</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reminds</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that</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a</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long</w:t>
      </w:r>
      <w:r w:rsidR="00C926EC" w:rsidRPr="003C42BC">
        <w:rPr>
          <w:rFonts w:ascii="Bookman Old Style" w:hAnsi="Bookman Old Style"/>
          <w:sz w:val="20"/>
          <w:szCs w:val="20"/>
          <w:lang w:val="uk-UA"/>
        </w:rPr>
        <w:t>-</w:t>
      </w:r>
      <w:r w:rsidR="00C926EC">
        <w:rPr>
          <w:rFonts w:ascii="Bookman Old Style" w:hAnsi="Bookman Old Style"/>
          <w:sz w:val="20"/>
          <w:szCs w:val="20"/>
          <w:lang w:val="en-US"/>
        </w:rPr>
        <w:t>term</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credit</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rating</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of</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PJSC</w:t>
      </w:r>
      <w:r w:rsidR="00C926EC">
        <w:rPr>
          <w:rFonts w:ascii="Bookman Old Style" w:hAnsi="Bookman Old Style"/>
          <w:sz w:val="20"/>
          <w:szCs w:val="20"/>
          <w:lang w:val="uk-UA"/>
        </w:rPr>
        <w:t xml:space="preserve"> </w:t>
      </w:r>
      <w:r w:rsidR="00C926EC">
        <w:rPr>
          <w:rFonts w:ascii="Bookman Old Style" w:hAnsi="Bookman Old Style"/>
          <w:sz w:val="20"/>
          <w:szCs w:val="20"/>
          <w:lang w:val="en-US"/>
        </w:rPr>
        <w:t>CB</w:t>
      </w:r>
      <w:r w:rsidR="00C926EC" w:rsidRPr="005D36D5">
        <w:rPr>
          <w:rFonts w:ascii="Bookman Old Style" w:hAnsi="Bookman Old Style"/>
          <w:sz w:val="20"/>
          <w:szCs w:val="20"/>
          <w:lang w:val="uk-UA"/>
        </w:rPr>
        <w:t xml:space="preserve"> “</w:t>
      </w:r>
      <w:r w:rsidR="00C926EC">
        <w:rPr>
          <w:rFonts w:ascii="Bookman Old Style" w:hAnsi="Bookman Old Style"/>
          <w:sz w:val="20"/>
          <w:szCs w:val="20"/>
          <w:lang w:val="en-US"/>
        </w:rPr>
        <w:t>PRIVATBANK</w:t>
      </w:r>
      <w:r w:rsidR="00C926EC">
        <w:rPr>
          <w:rFonts w:ascii="Bookman Old Style" w:hAnsi="Bookman Old Style"/>
          <w:sz w:val="20"/>
          <w:szCs w:val="20"/>
          <w:lang w:val="uk-UA"/>
        </w:rPr>
        <w:t>”</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according</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to</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the</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national</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scale</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was</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assigned</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on</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December</w:t>
      </w:r>
      <w:r w:rsidR="00C926EC" w:rsidRPr="003C42BC">
        <w:rPr>
          <w:rFonts w:ascii="Bookman Old Style" w:hAnsi="Bookman Old Style"/>
          <w:sz w:val="20"/>
          <w:szCs w:val="20"/>
          <w:lang w:val="uk-UA"/>
        </w:rPr>
        <w:t xml:space="preserve"> 29, 2016, </w:t>
      </w:r>
      <w:r w:rsidR="00C926EC">
        <w:rPr>
          <w:rFonts w:ascii="Bookman Old Style" w:hAnsi="Bookman Old Style"/>
          <w:sz w:val="20"/>
          <w:szCs w:val="20"/>
          <w:lang w:val="en-US"/>
        </w:rPr>
        <w:t>already</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after</w:t>
      </w:r>
      <w:r w:rsidR="00C926EC" w:rsidRPr="003C42BC">
        <w:rPr>
          <w:rFonts w:ascii="Bookman Old Style" w:hAnsi="Bookman Old Style"/>
          <w:sz w:val="20"/>
          <w:szCs w:val="20"/>
          <w:lang w:val="uk-UA"/>
        </w:rPr>
        <w:t xml:space="preserve"> </w:t>
      </w:r>
      <w:r w:rsidR="00C926EC">
        <w:rPr>
          <w:rFonts w:ascii="Bookman Old Style" w:hAnsi="Bookman Old Style"/>
          <w:sz w:val="20"/>
          <w:szCs w:val="20"/>
          <w:lang w:val="en-US"/>
        </w:rPr>
        <w:t xml:space="preserve">nationalization. </w:t>
      </w:r>
      <w:r w:rsidR="00C926EC" w:rsidRPr="00C3111E">
        <w:rPr>
          <w:rFonts w:ascii="Bookman Old Style" w:hAnsi="Bookman Old Style"/>
          <w:sz w:val="20"/>
          <w:szCs w:val="20"/>
          <w:lang w:val="en-US"/>
        </w:rPr>
        <w:t xml:space="preserve">The agency believes that the process of nationalization </w:t>
      </w:r>
      <w:r w:rsidR="00C926EC">
        <w:rPr>
          <w:rFonts w:ascii="Bookman Old Style" w:hAnsi="Bookman Old Style"/>
          <w:sz w:val="20"/>
          <w:szCs w:val="20"/>
          <w:lang w:val="en-US"/>
        </w:rPr>
        <w:t>was performed</w:t>
      </w:r>
      <w:r w:rsidR="00C926EC" w:rsidRPr="00C3111E">
        <w:rPr>
          <w:rFonts w:ascii="Bookman Old Style" w:hAnsi="Bookman Old Style"/>
          <w:sz w:val="20"/>
          <w:szCs w:val="20"/>
          <w:lang w:val="en-US"/>
        </w:rPr>
        <w:t xml:space="preserve"> with a minimum of losses for its clients. The Agency </w:t>
      </w:r>
      <w:r w:rsidR="00C926EC">
        <w:rPr>
          <w:rFonts w:ascii="Bookman Old Style" w:hAnsi="Bookman Old Style"/>
          <w:sz w:val="20"/>
          <w:szCs w:val="20"/>
          <w:lang w:val="en-US"/>
        </w:rPr>
        <w:t>assumes the availability of</w:t>
      </w:r>
      <w:r w:rsidR="00C926EC" w:rsidRPr="00C3111E">
        <w:rPr>
          <w:rFonts w:ascii="Bookman Old Style" w:hAnsi="Bookman Old Style"/>
          <w:sz w:val="20"/>
          <w:szCs w:val="20"/>
          <w:lang w:val="en-US"/>
        </w:rPr>
        <w:t xml:space="preserve"> </w:t>
      </w:r>
      <w:r w:rsidR="00C926EC">
        <w:rPr>
          <w:rFonts w:ascii="Bookman Old Style" w:hAnsi="Bookman Old Style"/>
          <w:sz w:val="20"/>
          <w:szCs w:val="20"/>
          <w:lang w:val="en-US"/>
        </w:rPr>
        <w:t>court disputes</w:t>
      </w:r>
      <w:r w:rsidR="00C926EC" w:rsidRPr="00C3111E">
        <w:rPr>
          <w:rFonts w:ascii="Bookman Old Style" w:hAnsi="Bookman Old Style"/>
          <w:sz w:val="20"/>
          <w:szCs w:val="20"/>
          <w:lang w:val="en-US"/>
        </w:rPr>
        <w:t xml:space="preserve"> on the part of those bank lenders </w:t>
      </w:r>
      <w:r w:rsidR="00C926EC" w:rsidRPr="00C3111E">
        <w:rPr>
          <w:rFonts w:ascii="Bookman Old Style" w:hAnsi="Bookman Old Style"/>
          <w:sz w:val="20"/>
          <w:szCs w:val="20"/>
          <w:lang w:val="en-US"/>
        </w:rPr>
        <w:lastRenderedPageBreak/>
        <w:t>that fall under the normative definition of "</w:t>
      </w:r>
      <w:r w:rsidR="00C926EC">
        <w:rPr>
          <w:rFonts w:ascii="Bookman Old Style" w:hAnsi="Bookman Old Style"/>
          <w:sz w:val="20"/>
          <w:szCs w:val="20"/>
          <w:lang w:val="en-US"/>
        </w:rPr>
        <w:t>related</w:t>
      </w:r>
      <w:r w:rsidR="00C926EC" w:rsidRPr="00C3111E">
        <w:rPr>
          <w:rFonts w:ascii="Bookman Old Style" w:hAnsi="Bookman Old Style"/>
          <w:sz w:val="20"/>
          <w:szCs w:val="20"/>
          <w:lang w:val="en-US"/>
        </w:rPr>
        <w:t xml:space="preserve"> person</w:t>
      </w:r>
      <w:r w:rsidR="00C926EC">
        <w:rPr>
          <w:rFonts w:ascii="Bookman Old Style" w:hAnsi="Bookman Old Style"/>
          <w:sz w:val="20"/>
          <w:szCs w:val="20"/>
          <w:lang w:val="en-US"/>
        </w:rPr>
        <w:t>s</w:t>
      </w:r>
      <w:r w:rsidR="00C926EC" w:rsidRPr="00C3111E">
        <w:rPr>
          <w:rFonts w:ascii="Bookman Old Style" w:hAnsi="Bookman Old Style"/>
          <w:sz w:val="20"/>
          <w:szCs w:val="20"/>
          <w:lang w:val="en-US"/>
        </w:rPr>
        <w:t>", but the fact of such disputes does not directly affect the credit risk of the Bank.</w:t>
      </w:r>
      <w:r w:rsidR="00C926EC">
        <w:rPr>
          <w:rFonts w:ascii="Bookman Old Style" w:hAnsi="Bookman Old Style"/>
          <w:sz w:val="20"/>
          <w:szCs w:val="20"/>
          <w:lang w:val="en-US"/>
        </w:rPr>
        <w:t xml:space="preserve"> </w:t>
      </w:r>
    </w:p>
    <w:p w14:paraId="41FDA6D9" w14:textId="77777777" w:rsidR="00FE3473" w:rsidRPr="00AF79C9" w:rsidRDefault="00FE3473" w:rsidP="0056717D">
      <w:pPr>
        <w:pStyle w:val="Default"/>
        <w:jc w:val="both"/>
        <w:rPr>
          <w:rFonts w:ascii="Bookman Old Style" w:hAnsi="Bookman Old Style"/>
          <w:sz w:val="20"/>
          <w:szCs w:val="20"/>
          <w:lang w:val="uk-UA"/>
        </w:rPr>
      </w:pPr>
    </w:p>
    <w:p w14:paraId="3AF6A5B4" w14:textId="4F8F5DE9" w:rsidR="007C52DA" w:rsidRPr="00AF79C9" w:rsidRDefault="0056717D" w:rsidP="0056717D">
      <w:pPr>
        <w:jc w:val="both"/>
        <w:rPr>
          <w:rFonts w:ascii="Bookman Old Style" w:hAnsi="Bookman Old Style"/>
          <w:sz w:val="20"/>
          <w:szCs w:val="20"/>
          <w:lang w:val="uk-UA"/>
        </w:rPr>
      </w:pPr>
      <w:r w:rsidRPr="00AF79C9">
        <w:rPr>
          <w:rFonts w:ascii="Bookman Old Style" w:hAnsi="Bookman Old Style"/>
          <w:sz w:val="20"/>
          <w:szCs w:val="20"/>
          <w:lang w:val="uk-UA"/>
        </w:rPr>
        <w:t xml:space="preserve">            </w:t>
      </w:r>
      <w:r w:rsidR="00EA2A2D">
        <w:rPr>
          <w:rFonts w:ascii="Bookman Old Style" w:hAnsi="Bookman Old Style"/>
          <w:sz w:val="20"/>
          <w:szCs w:val="20"/>
          <w:lang w:val="en-US"/>
        </w:rPr>
        <w:t>Therefore</w:t>
      </w:r>
      <w:r w:rsidR="00EA2A2D" w:rsidRPr="00775243">
        <w:rPr>
          <w:rFonts w:ascii="Bookman Old Style" w:hAnsi="Bookman Old Style"/>
          <w:sz w:val="20"/>
          <w:szCs w:val="20"/>
          <w:lang w:val="uk-UA"/>
        </w:rPr>
        <w:t xml:space="preserve">, </w:t>
      </w:r>
      <w:r w:rsidR="00EA2A2D" w:rsidRPr="00CC2135">
        <w:rPr>
          <w:rFonts w:ascii="Bookman Old Style" w:hAnsi="Bookman Old Style"/>
          <w:sz w:val="20"/>
          <w:szCs w:val="20"/>
          <w:lang w:val="en-US"/>
        </w:rPr>
        <w:t>JSC</w:t>
      </w:r>
      <w:r w:rsidR="00EA2A2D" w:rsidRPr="00775243">
        <w:rPr>
          <w:rFonts w:ascii="Bookman Old Style" w:hAnsi="Bookman Old Style"/>
          <w:sz w:val="20"/>
          <w:szCs w:val="20"/>
          <w:lang w:val="uk-UA"/>
        </w:rPr>
        <w:t xml:space="preserve"> </w:t>
      </w:r>
      <w:r w:rsidR="00EA2A2D" w:rsidRPr="00CC2135">
        <w:rPr>
          <w:rFonts w:ascii="Bookman Old Style" w:hAnsi="Bookman Old Style"/>
          <w:sz w:val="20"/>
          <w:szCs w:val="20"/>
          <w:lang w:val="en-US"/>
        </w:rPr>
        <w:t>CB</w:t>
      </w:r>
      <w:r w:rsidR="00EA2A2D" w:rsidRPr="00775243">
        <w:rPr>
          <w:rFonts w:ascii="Bookman Old Style" w:hAnsi="Bookman Old Style"/>
          <w:sz w:val="20"/>
          <w:szCs w:val="20"/>
          <w:lang w:val="uk-UA"/>
        </w:rPr>
        <w:t xml:space="preserve"> «</w:t>
      </w:r>
      <w:r w:rsidR="00EA2A2D" w:rsidRPr="00CC2135">
        <w:rPr>
          <w:rFonts w:ascii="Bookman Old Style" w:hAnsi="Bookman Old Style"/>
          <w:sz w:val="20"/>
          <w:szCs w:val="20"/>
          <w:lang w:val="en-US"/>
        </w:rPr>
        <w:t>PRIVATBANK</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was</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very</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well</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provided</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with</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liquidity</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and</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regulatory</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capital</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had</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a</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high</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level</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of</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external</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support</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from</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the</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shareholder</w:t>
      </w:r>
      <w:r w:rsidR="00EA2A2D" w:rsidRPr="00775243">
        <w:rPr>
          <w:rFonts w:ascii="Bookman Old Style" w:hAnsi="Bookman Old Style"/>
          <w:sz w:val="20"/>
          <w:szCs w:val="20"/>
          <w:lang w:val="uk-UA"/>
        </w:rPr>
        <w:t xml:space="preserve"> </w:t>
      </w:r>
      <w:r w:rsidR="00EA2A2D">
        <w:rPr>
          <w:rFonts w:ascii="Bookman Old Style" w:hAnsi="Bookman Old Style"/>
          <w:sz w:val="20"/>
          <w:szCs w:val="20"/>
          <w:lang w:val="en-US"/>
        </w:rPr>
        <w:t>represented by the State</w:t>
      </w:r>
      <w:r w:rsidR="00EA2A2D">
        <w:rPr>
          <w:rFonts w:ascii="Bookman Old Style" w:hAnsi="Bookman Old Style"/>
          <w:sz w:val="20"/>
          <w:szCs w:val="20"/>
          <w:lang w:val="en-US"/>
        </w:rPr>
        <w:t xml:space="preserve"> Ukraine</w:t>
      </w:r>
      <w:r w:rsidR="00EA2A2D">
        <w:rPr>
          <w:rFonts w:ascii="Bookman Old Style" w:hAnsi="Bookman Old Style"/>
          <w:sz w:val="20"/>
          <w:szCs w:val="20"/>
          <w:lang w:val="en-US"/>
        </w:rPr>
        <w:t>, and from July, 2017 provided the increase in the Bank’s regulatory capital adequacy.</w:t>
      </w:r>
      <w:r w:rsidR="00EA2A2D">
        <w:rPr>
          <w:rFonts w:ascii="Bookman Old Style" w:hAnsi="Bookman Old Style"/>
          <w:sz w:val="20"/>
          <w:szCs w:val="20"/>
          <w:lang w:val="en-US"/>
        </w:rPr>
        <w:t xml:space="preserve"> In the first half of 2018 the Bank has demonstrated not only profitable activity, but also has provided an increase in key income items. Continuance of the revealed positive trends in the third and fourth quarters of 2018 can result in the improvement of the Bank’s credit rating a</w:t>
      </w:r>
      <w:r w:rsidR="00DD1194">
        <w:rPr>
          <w:rFonts w:ascii="Bookman Old Style" w:hAnsi="Bookman Old Style"/>
          <w:sz w:val="20"/>
          <w:szCs w:val="20"/>
          <w:lang w:val="en-US"/>
        </w:rPr>
        <w:t>ccording to the national scale.</w:t>
      </w:r>
      <w:r w:rsidR="00EA2A2D" w:rsidRPr="0067507F">
        <w:rPr>
          <w:rFonts w:ascii="Bookman Old Style" w:hAnsi="Bookman Old Style"/>
          <w:sz w:val="20"/>
          <w:szCs w:val="20"/>
          <w:lang w:val="uk-UA"/>
        </w:rPr>
        <w:t xml:space="preserve"> </w:t>
      </w:r>
    </w:p>
    <w:p w14:paraId="233FC030" w14:textId="77777777" w:rsidR="0056717D" w:rsidRPr="00AF79C9" w:rsidRDefault="0056717D" w:rsidP="0056717D">
      <w:pPr>
        <w:jc w:val="right"/>
        <w:rPr>
          <w:rFonts w:ascii="Bookman Old Style" w:hAnsi="Bookman Old Style"/>
          <w:i/>
          <w:sz w:val="20"/>
          <w:szCs w:val="20"/>
          <w:lang w:val="uk-UA"/>
        </w:rPr>
      </w:pPr>
    </w:p>
    <w:p w14:paraId="63865D80" w14:textId="77777777" w:rsidR="004046DA" w:rsidRPr="00676CFC" w:rsidRDefault="004046DA" w:rsidP="004046DA">
      <w:pPr>
        <w:jc w:val="right"/>
        <w:rPr>
          <w:rFonts w:ascii="Bookman Old Style" w:hAnsi="Bookman Old Style"/>
          <w:i/>
          <w:sz w:val="20"/>
          <w:szCs w:val="20"/>
          <w:lang w:val="uk-UA"/>
        </w:rPr>
      </w:pPr>
      <w:r>
        <w:rPr>
          <w:rFonts w:ascii="Bookman Old Style" w:hAnsi="Bookman Old Style"/>
          <w:i/>
          <w:sz w:val="20"/>
          <w:szCs w:val="20"/>
          <w:lang w:val="en-US"/>
        </w:rPr>
        <w:t>Rating</w:t>
      </w:r>
      <w:r w:rsidRPr="00676CFC">
        <w:rPr>
          <w:rFonts w:ascii="Bookman Old Style" w:hAnsi="Bookman Old Style"/>
          <w:i/>
          <w:sz w:val="20"/>
          <w:szCs w:val="20"/>
          <w:lang w:val="uk-UA"/>
        </w:rPr>
        <w:t xml:space="preserve"> </w:t>
      </w:r>
      <w:r>
        <w:rPr>
          <w:rFonts w:ascii="Bookman Old Style" w:hAnsi="Bookman Old Style"/>
          <w:i/>
          <w:sz w:val="20"/>
          <w:szCs w:val="20"/>
          <w:lang w:val="en-US"/>
        </w:rPr>
        <w:t>agency</w:t>
      </w:r>
      <w:r w:rsidRPr="00676CFC">
        <w:rPr>
          <w:rFonts w:ascii="Bookman Old Style" w:hAnsi="Bookman Old Style"/>
          <w:i/>
          <w:sz w:val="20"/>
          <w:szCs w:val="20"/>
          <w:lang w:val="uk-UA"/>
        </w:rPr>
        <w:t xml:space="preserve"> «</w:t>
      </w:r>
      <w:r>
        <w:rPr>
          <w:rFonts w:ascii="Bookman Old Style" w:hAnsi="Bookman Old Style"/>
          <w:i/>
          <w:sz w:val="20"/>
          <w:szCs w:val="20"/>
          <w:lang w:val="en-US"/>
        </w:rPr>
        <w:t>Standard</w:t>
      </w:r>
      <w:r w:rsidRPr="00676CFC">
        <w:rPr>
          <w:rFonts w:ascii="Bookman Old Style" w:hAnsi="Bookman Old Style"/>
          <w:i/>
          <w:sz w:val="20"/>
          <w:szCs w:val="20"/>
          <w:lang w:val="uk-UA"/>
        </w:rPr>
        <w:t>-</w:t>
      </w:r>
      <w:r>
        <w:rPr>
          <w:rFonts w:ascii="Bookman Old Style" w:hAnsi="Bookman Old Style"/>
          <w:i/>
          <w:sz w:val="20"/>
          <w:szCs w:val="20"/>
          <w:lang w:val="en-US"/>
        </w:rPr>
        <w:t>Rating</w:t>
      </w:r>
      <w:r w:rsidRPr="00676CFC">
        <w:rPr>
          <w:rFonts w:ascii="Bookman Old Style" w:hAnsi="Bookman Old Style"/>
          <w:i/>
          <w:sz w:val="20"/>
          <w:szCs w:val="20"/>
          <w:lang w:val="uk-UA"/>
        </w:rPr>
        <w:t>» (</w:t>
      </w:r>
      <w:smartTag w:uri="urn:schemas-microsoft-com:office:smarttags" w:element="country-region">
        <w:smartTag w:uri="urn:schemas-microsoft-com:office:smarttags" w:element="place">
          <w:r>
            <w:rPr>
              <w:rFonts w:ascii="Bookman Old Style" w:hAnsi="Bookman Old Style"/>
              <w:i/>
              <w:sz w:val="20"/>
              <w:szCs w:val="20"/>
              <w:lang w:val="en-US"/>
            </w:rPr>
            <w:t>Ukraine</w:t>
          </w:r>
        </w:smartTag>
      </w:smartTag>
      <w:r w:rsidRPr="00676CFC">
        <w:rPr>
          <w:rFonts w:ascii="Bookman Old Style" w:hAnsi="Bookman Old Style"/>
          <w:i/>
          <w:sz w:val="20"/>
          <w:szCs w:val="20"/>
          <w:lang w:val="uk-UA"/>
        </w:rPr>
        <w:t>)</w:t>
      </w:r>
    </w:p>
    <w:p w14:paraId="62EFD81A" w14:textId="77777777" w:rsidR="0056717D" w:rsidRPr="00AF79C9" w:rsidRDefault="0056717D" w:rsidP="00A0110D">
      <w:pPr>
        <w:jc w:val="right"/>
        <w:rPr>
          <w:rFonts w:ascii="Bookman Old Style" w:hAnsi="Bookman Old Style"/>
          <w:i/>
          <w:sz w:val="20"/>
          <w:szCs w:val="20"/>
          <w:lang w:val="uk-UA"/>
        </w:rPr>
      </w:pPr>
    </w:p>
    <w:sectPr w:rsidR="0056717D" w:rsidRPr="00AF79C9" w:rsidSect="00654CE5">
      <w:headerReference w:type="even" r:id="rId11"/>
      <w:headerReference w:type="default" r:id="rId12"/>
      <w:footerReference w:type="even" r:id="rId13"/>
      <w:footerReference w:type="default" r:id="rId14"/>
      <w:pgSz w:w="11906" w:h="16838"/>
      <w:pgMar w:top="539" w:right="566" w:bottom="53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E0EFE" w14:textId="77777777" w:rsidR="001466BD" w:rsidRDefault="001466BD">
      <w:r>
        <w:separator/>
      </w:r>
    </w:p>
  </w:endnote>
  <w:endnote w:type="continuationSeparator" w:id="0">
    <w:p w14:paraId="16C7F352" w14:textId="77777777" w:rsidR="001466BD" w:rsidRDefault="0014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94D8" w14:textId="77777777" w:rsidR="00EC7DFF" w:rsidRDefault="00EC7DFF" w:rsidP="00654CE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CC8187C" w14:textId="77777777" w:rsidR="00EC7DFF" w:rsidRDefault="00EC7DFF" w:rsidP="00CF0E6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C80CA" w14:textId="77777777" w:rsidR="00EC7DFF" w:rsidRDefault="00EC7DFF" w:rsidP="001801E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9357B">
      <w:rPr>
        <w:rStyle w:val="a5"/>
        <w:noProof/>
      </w:rPr>
      <w:t>4</w:t>
    </w:r>
    <w:r>
      <w:rPr>
        <w:rStyle w:val="a5"/>
      </w:rPr>
      <w:fldChar w:fldCharType="end"/>
    </w:r>
  </w:p>
  <w:p w14:paraId="2465AD63" w14:textId="77777777" w:rsidR="00EC7DFF" w:rsidRPr="00A01CF0" w:rsidRDefault="00EC7DFF" w:rsidP="00A01CF0">
    <w:pPr>
      <w:pStyle w:val="a6"/>
      <w:ind w:right="360"/>
      <w:rPr>
        <w:rFonts w:ascii="Arial Narrow" w:hAnsi="Arial Narrow"/>
        <w:noProof/>
        <w:sz w:val="16"/>
        <w:szCs w:val="16"/>
        <w:lang w:val="en-US"/>
      </w:rPr>
    </w:pPr>
  </w:p>
  <w:p w14:paraId="6BB966EF" w14:textId="77777777" w:rsidR="00EC7DFF" w:rsidRPr="00CF0E65" w:rsidRDefault="00EC7DFF" w:rsidP="00CF0E65">
    <w:pPr>
      <w:pStyle w:val="a6"/>
      <w:ind w:right="360"/>
      <w:jc w:val="center"/>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DE1C3" w14:textId="77777777" w:rsidR="001466BD" w:rsidRDefault="001466BD">
      <w:r>
        <w:separator/>
      </w:r>
    </w:p>
  </w:footnote>
  <w:footnote w:type="continuationSeparator" w:id="0">
    <w:p w14:paraId="35699D84" w14:textId="77777777" w:rsidR="001466BD" w:rsidRDefault="00146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320A8" w14:textId="77777777" w:rsidR="00EC7DFF" w:rsidRDefault="00EC7DFF" w:rsidP="003A2C6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D48A200" w14:textId="77777777" w:rsidR="00EC7DFF" w:rsidRDefault="00EC7DFF" w:rsidP="00D43B0E">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25211" w14:textId="77777777" w:rsidR="00EC7DFF" w:rsidRPr="00F67C81" w:rsidRDefault="00EC7DFF" w:rsidP="00D43B0E">
    <w:pPr>
      <w:pStyle w:val="a4"/>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E92"/>
    <w:multiLevelType w:val="hybridMultilevel"/>
    <w:tmpl w:val="C27495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AD94B7E"/>
    <w:multiLevelType w:val="hybridMultilevel"/>
    <w:tmpl w:val="CADCF32A"/>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
    <w:nsid w:val="10D60494"/>
    <w:multiLevelType w:val="hybridMultilevel"/>
    <w:tmpl w:val="835A9EFC"/>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3">
    <w:nsid w:val="2E441AA6"/>
    <w:multiLevelType w:val="hybridMultilevel"/>
    <w:tmpl w:val="3236BAF0"/>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
    <w:nsid w:val="43415D38"/>
    <w:multiLevelType w:val="hybridMultilevel"/>
    <w:tmpl w:val="CDD4C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B55ECD"/>
    <w:multiLevelType w:val="hybridMultilevel"/>
    <w:tmpl w:val="458C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C59409A"/>
    <w:multiLevelType w:val="hybridMultilevel"/>
    <w:tmpl w:val="F2507226"/>
    <w:lvl w:ilvl="0" w:tplc="D1E26F00">
      <w:start w:val="3"/>
      <w:numFmt w:val="bullet"/>
      <w:lvlText w:val="-"/>
      <w:lvlJc w:val="left"/>
      <w:pPr>
        <w:ind w:left="1068" w:hanging="360"/>
      </w:pPr>
      <w:rPr>
        <w:rFonts w:ascii="Bookman Old Style" w:eastAsia="Times New Roman" w:hAnsi="Bookman Old Style" w:cs="Times New Roman"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7">
    <w:nsid w:val="51F56C72"/>
    <w:multiLevelType w:val="hybridMultilevel"/>
    <w:tmpl w:val="8640E9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F100CC"/>
    <w:multiLevelType w:val="hybridMultilevel"/>
    <w:tmpl w:val="E70E8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4D3841"/>
    <w:multiLevelType w:val="hybridMultilevel"/>
    <w:tmpl w:val="BC8CE896"/>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0">
    <w:nsid w:val="6BC940A8"/>
    <w:multiLevelType w:val="hybridMultilevel"/>
    <w:tmpl w:val="80BAE9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98F3E7B"/>
    <w:multiLevelType w:val="hybridMultilevel"/>
    <w:tmpl w:val="02D062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0"/>
  </w:num>
  <w:num w:numId="9">
    <w:abstractNumId w:val="2"/>
  </w:num>
  <w:num w:numId="10">
    <w:abstractNumId w:val="9"/>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green,#060,#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15"/>
    <w:rsid w:val="00000A73"/>
    <w:rsid w:val="00005707"/>
    <w:rsid w:val="00010AAA"/>
    <w:rsid w:val="00011599"/>
    <w:rsid w:val="00014940"/>
    <w:rsid w:val="00014973"/>
    <w:rsid w:val="000172AC"/>
    <w:rsid w:val="00020F36"/>
    <w:rsid w:val="0002270F"/>
    <w:rsid w:val="00024807"/>
    <w:rsid w:val="00033CCB"/>
    <w:rsid w:val="00035612"/>
    <w:rsid w:val="000431CE"/>
    <w:rsid w:val="00043BBF"/>
    <w:rsid w:val="00043BFC"/>
    <w:rsid w:val="00045E3E"/>
    <w:rsid w:val="0004743E"/>
    <w:rsid w:val="00052BEF"/>
    <w:rsid w:val="00054322"/>
    <w:rsid w:val="00054A41"/>
    <w:rsid w:val="00054E40"/>
    <w:rsid w:val="000555D9"/>
    <w:rsid w:val="00055611"/>
    <w:rsid w:val="00057A23"/>
    <w:rsid w:val="00060C12"/>
    <w:rsid w:val="00061C7C"/>
    <w:rsid w:val="00063015"/>
    <w:rsid w:val="00064C8F"/>
    <w:rsid w:val="00070FBE"/>
    <w:rsid w:val="000710AD"/>
    <w:rsid w:val="000711D6"/>
    <w:rsid w:val="000714EF"/>
    <w:rsid w:val="000722F2"/>
    <w:rsid w:val="00073361"/>
    <w:rsid w:val="000765B3"/>
    <w:rsid w:val="0007699F"/>
    <w:rsid w:val="00077DBD"/>
    <w:rsid w:val="00080FC4"/>
    <w:rsid w:val="0008111D"/>
    <w:rsid w:val="000829A7"/>
    <w:rsid w:val="00082E17"/>
    <w:rsid w:val="00083C63"/>
    <w:rsid w:val="00086F68"/>
    <w:rsid w:val="00094B8B"/>
    <w:rsid w:val="000957B8"/>
    <w:rsid w:val="000A11D9"/>
    <w:rsid w:val="000A3B32"/>
    <w:rsid w:val="000A6FCD"/>
    <w:rsid w:val="000B050F"/>
    <w:rsid w:val="000B2514"/>
    <w:rsid w:val="000C3AA0"/>
    <w:rsid w:val="000C4704"/>
    <w:rsid w:val="000C5D92"/>
    <w:rsid w:val="000C5EAF"/>
    <w:rsid w:val="000D15B0"/>
    <w:rsid w:val="000D523B"/>
    <w:rsid w:val="000D6EF0"/>
    <w:rsid w:val="000D7BB7"/>
    <w:rsid w:val="000E19E9"/>
    <w:rsid w:val="000E3D86"/>
    <w:rsid w:val="000E7DC8"/>
    <w:rsid w:val="000F180D"/>
    <w:rsid w:val="000F5785"/>
    <w:rsid w:val="000F7323"/>
    <w:rsid w:val="001049D8"/>
    <w:rsid w:val="00105EDD"/>
    <w:rsid w:val="00111B21"/>
    <w:rsid w:val="00111CB7"/>
    <w:rsid w:val="00112AE8"/>
    <w:rsid w:val="00112DFD"/>
    <w:rsid w:val="00117C43"/>
    <w:rsid w:val="001231DB"/>
    <w:rsid w:val="00124EE7"/>
    <w:rsid w:val="00125AAC"/>
    <w:rsid w:val="00133774"/>
    <w:rsid w:val="00135037"/>
    <w:rsid w:val="0014197C"/>
    <w:rsid w:val="00144918"/>
    <w:rsid w:val="00145658"/>
    <w:rsid w:val="001466BD"/>
    <w:rsid w:val="001470BE"/>
    <w:rsid w:val="00147721"/>
    <w:rsid w:val="00152731"/>
    <w:rsid w:val="00152AE2"/>
    <w:rsid w:val="00153280"/>
    <w:rsid w:val="0015677C"/>
    <w:rsid w:val="00156BE5"/>
    <w:rsid w:val="0016057B"/>
    <w:rsid w:val="0016164F"/>
    <w:rsid w:val="001634B7"/>
    <w:rsid w:val="00163719"/>
    <w:rsid w:val="00164B39"/>
    <w:rsid w:val="0016667B"/>
    <w:rsid w:val="00171102"/>
    <w:rsid w:val="001717E1"/>
    <w:rsid w:val="001723F5"/>
    <w:rsid w:val="00172530"/>
    <w:rsid w:val="0017501D"/>
    <w:rsid w:val="00175791"/>
    <w:rsid w:val="00175D3A"/>
    <w:rsid w:val="001801E2"/>
    <w:rsid w:val="00185154"/>
    <w:rsid w:val="001861C1"/>
    <w:rsid w:val="001868ED"/>
    <w:rsid w:val="00193980"/>
    <w:rsid w:val="00193B25"/>
    <w:rsid w:val="001A40F2"/>
    <w:rsid w:val="001A4BB2"/>
    <w:rsid w:val="001B3DB4"/>
    <w:rsid w:val="001B459C"/>
    <w:rsid w:val="001C2245"/>
    <w:rsid w:val="001C3BCA"/>
    <w:rsid w:val="001C6E64"/>
    <w:rsid w:val="001D448C"/>
    <w:rsid w:val="001D6D3A"/>
    <w:rsid w:val="001E4B29"/>
    <w:rsid w:val="001E5196"/>
    <w:rsid w:val="001E54AF"/>
    <w:rsid w:val="001E7C24"/>
    <w:rsid w:val="001F0062"/>
    <w:rsid w:val="001F4F4A"/>
    <w:rsid w:val="0020104E"/>
    <w:rsid w:val="00201143"/>
    <w:rsid w:val="002048CA"/>
    <w:rsid w:val="00207FF0"/>
    <w:rsid w:val="00210888"/>
    <w:rsid w:val="00211109"/>
    <w:rsid w:val="002126A1"/>
    <w:rsid w:val="00213824"/>
    <w:rsid w:val="00220477"/>
    <w:rsid w:val="002210A0"/>
    <w:rsid w:val="00222208"/>
    <w:rsid w:val="00223BA7"/>
    <w:rsid w:val="00232C1A"/>
    <w:rsid w:val="00233A62"/>
    <w:rsid w:val="0023603B"/>
    <w:rsid w:val="00236A14"/>
    <w:rsid w:val="002370A9"/>
    <w:rsid w:val="002418F3"/>
    <w:rsid w:val="0024455B"/>
    <w:rsid w:val="00245E85"/>
    <w:rsid w:val="00252DF4"/>
    <w:rsid w:val="0025523E"/>
    <w:rsid w:val="00260B12"/>
    <w:rsid w:val="00260F81"/>
    <w:rsid w:val="002666C4"/>
    <w:rsid w:val="002711B0"/>
    <w:rsid w:val="00275026"/>
    <w:rsid w:val="00277983"/>
    <w:rsid w:val="0028205B"/>
    <w:rsid w:val="0028403A"/>
    <w:rsid w:val="0028667B"/>
    <w:rsid w:val="0029149B"/>
    <w:rsid w:val="002918C3"/>
    <w:rsid w:val="0029208D"/>
    <w:rsid w:val="00292983"/>
    <w:rsid w:val="00292A67"/>
    <w:rsid w:val="00294D54"/>
    <w:rsid w:val="00294E1B"/>
    <w:rsid w:val="00297057"/>
    <w:rsid w:val="00297795"/>
    <w:rsid w:val="002A1A9E"/>
    <w:rsid w:val="002B0091"/>
    <w:rsid w:val="002B2837"/>
    <w:rsid w:val="002B30F0"/>
    <w:rsid w:val="002B35AC"/>
    <w:rsid w:val="002B651E"/>
    <w:rsid w:val="002B6593"/>
    <w:rsid w:val="002B7374"/>
    <w:rsid w:val="002C2EBF"/>
    <w:rsid w:val="002C6ADA"/>
    <w:rsid w:val="002C7D24"/>
    <w:rsid w:val="002D3DE0"/>
    <w:rsid w:val="002D5448"/>
    <w:rsid w:val="002E0E01"/>
    <w:rsid w:val="002E424A"/>
    <w:rsid w:val="002F2823"/>
    <w:rsid w:val="002F7B46"/>
    <w:rsid w:val="00300BE2"/>
    <w:rsid w:val="00302F1F"/>
    <w:rsid w:val="003039B8"/>
    <w:rsid w:val="00311577"/>
    <w:rsid w:val="00311939"/>
    <w:rsid w:val="0031688A"/>
    <w:rsid w:val="00316D57"/>
    <w:rsid w:val="00316ED1"/>
    <w:rsid w:val="00317694"/>
    <w:rsid w:val="00317988"/>
    <w:rsid w:val="0033330F"/>
    <w:rsid w:val="003352AC"/>
    <w:rsid w:val="00335FAA"/>
    <w:rsid w:val="00336C0F"/>
    <w:rsid w:val="003409FD"/>
    <w:rsid w:val="003412DD"/>
    <w:rsid w:val="00347ED0"/>
    <w:rsid w:val="00352C82"/>
    <w:rsid w:val="00353767"/>
    <w:rsid w:val="00355EEE"/>
    <w:rsid w:val="00357786"/>
    <w:rsid w:val="003627BE"/>
    <w:rsid w:val="00362980"/>
    <w:rsid w:val="0036725F"/>
    <w:rsid w:val="0036741D"/>
    <w:rsid w:val="003708A9"/>
    <w:rsid w:val="0037551D"/>
    <w:rsid w:val="00376F58"/>
    <w:rsid w:val="003824A0"/>
    <w:rsid w:val="003827DE"/>
    <w:rsid w:val="00384A40"/>
    <w:rsid w:val="00384DE6"/>
    <w:rsid w:val="00386818"/>
    <w:rsid w:val="003913F5"/>
    <w:rsid w:val="00392536"/>
    <w:rsid w:val="003A2584"/>
    <w:rsid w:val="003A2C64"/>
    <w:rsid w:val="003A6835"/>
    <w:rsid w:val="003A78AA"/>
    <w:rsid w:val="003B28FC"/>
    <w:rsid w:val="003B3DC3"/>
    <w:rsid w:val="003B5FE6"/>
    <w:rsid w:val="003B73F2"/>
    <w:rsid w:val="003C2F56"/>
    <w:rsid w:val="003C3EB9"/>
    <w:rsid w:val="003C5251"/>
    <w:rsid w:val="003D1F28"/>
    <w:rsid w:val="003D1FFD"/>
    <w:rsid w:val="003D3117"/>
    <w:rsid w:val="003D5A24"/>
    <w:rsid w:val="003D7D08"/>
    <w:rsid w:val="003E0870"/>
    <w:rsid w:val="003E1A3C"/>
    <w:rsid w:val="003E2E87"/>
    <w:rsid w:val="003E44F6"/>
    <w:rsid w:val="003E5E24"/>
    <w:rsid w:val="003E638D"/>
    <w:rsid w:val="003E7B7F"/>
    <w:rsid w:val="003F129F"/>
    <w:rsid w:val="003F1466"/>
    <w:rsid w:val="003F374E"/>
    <w:rsid w:val="003F5326"/>
    <w:rsid w:val="003F76DA"/>
    <w:rsid w:val="003F7DD0"/>
    <w:rsid w:val="0040085D"/>
    <w:rsid w:val="004030A9"/>
    <w:rsid w:val="004046DA"/>
    <w:rsid w:val="00405F11"/>
    <w:rsid w:val="004062FD"/>
    <w:rsid w:val="004145F7"/>
    <w:rsid w:val="004200A9"/>
    <w:rsid w:val="00421377"/>
    <w:rsid w:val="00423577"/>
    <w:rsid w:val="004261D2"/>
    <w:rsid w:val="004265C2"/>
    <w:rsid w:val="00431E42"/>
    <w:rsid w:val="0043283C"/>
    <w:rsid w:val="00433A27"/>
    <w:rsid w:val="0043513C"/>
    <w:rsid w:val="00441D07"/>
    <w:rsid w:val="004444B2"/>
    <w:rsid w:val="0044478E"/>
    <w:rsid w:val="00446EF2"/>
    <w:rsid w:val="00447825"/>
    <w:rsid w:val="00453FD4"/>
    <w:rsid w:val="00454513"/>
    <w:rsid w:val="00454A30"/>
    <w:rsid w:val="004550D5"/>
    <w:rsid w:val="004557E3"/>
    <w:rsid w:val="004573FE"/>
    <w:rsid w:val="00461040"/>
    <w:rsid w:val="0046656B"/>
    <w:rsid w:val="00466700"/>
    <w:rsid w:val="00467F6E"/>
    <w:rsid w:val="004713B6"/>
    <w:rsid w:val="00472CA9"/>
    <w:rsid w:val="004735BF"/>
    <w:rsid w:val="00475A16"/>
    <w:rsid w:val="00480901"/>
    <w:rsid w:val="004823F2"/>
    <w:rsid w:val="004834AC"/>
    <w:rsid w:val="00487B91"/>
    <w:rsid w:val="00491ABF"/>
    <w:rsid w:val="0049316B"/>
    <w:rsid w:val="00496E93"/>
    <w:rsid w:val="004977F2"/>
    <w:rsid w:val="004A132B"/>
    <w:rsid w:val="004A6C54"/>
    <w:rsid w:val="004B4436"/>
    <w:rsid w:val="004B609B"/>
    <w:rsid w:val="004B62CA"/>
    <w:rsid w:val="004B696D"/>
    <w:rsid w:val="004B75C3"/>
    <w:rsid w:val="004B77B8"/>
    <w:rsid w:val="004B7E7E"/>
    <w:rsid w:val="004C0339"/>
    <w:rsid w:val="004C0768"/>
    <w:rsid w:val="004C35FF"/>
    <w:rsid w:val="004C408E"/>
    <w:rsid w:val="004C509E"/>
    <w:rsid w:val="004C5389"/>
    <w:rsid w:val="004C7F03"/>
    <w:rsid w:val="004D01F9"/>
    <w:rsid w:val="004D076E"/>
    <w:rsid w:val="004D286C"/>
    <w:rsid w:val="004D5E13"/>
    <w:rsid w:val="004D5F1C"/>
    <w:rsid w:val="004E3A28"/>
    <w:rsid w:val="004E76B4"/>
    <w:rsid w:val="004F0246"/>
    <w:rsid w:val="004F1F6F"/>
    <w:rsid w:val="004F3CB5"/>
    <w:rsid w:val="004F48BC"/>
    <w:rsid w:val="005017A6"/>
    <w:rsid w:val="00501CED"/>
    <w:rsid w:val="00503F24"/>
    <w:rsid w:val="00504D3D"/>
    <w:rsid w:val="00506D77"/>
    <w:rsid w:val="00511728"/>
    <w:rsid w:val="00512621"/>
    <w:rsid w:val="005137D5"/>
    <w:rsid w:val="005152CF"/>
    <w:rsid w:val="00520432"/>
    <w:rsid w:val="00522459"/>
    <w:rsid w:val="00523171"/>
    <w:rsid w:val="00524F05"/>
    <w:rsid w:val="00530A1D"/>
    <w:rsid w:val="0053240D"/>
    <w:rsid w:val="00533071"/>
    <w:rsid w:val="00534E20"/>
    <w:rsid w:val="00536EAA"/>
    <w:rsid w:val="00540E00"/>
    <w:rsid w:val="005414B3"/>
    <w:rsid w:val="005417CB"/>
    <w:rsid w:val="0054420E"/>
    <w:rsid w:val="0054483C"/>
    <w:rsid w:val="00545240"/>
    <w:rsid w:val="00545300"/>
    <w:rsid w:val="00547600"/>
    <w:rsid w:val="00551120"/>
    <w:rsid w:val="005515C0"/>
    <w:rsid w:val="0055162D"/>
    <w:rsid w:val="00551DB2"/>
    <w:rsid w:val="005530F1"/>
    <w:rsid w:val="00554C31"/>
    <w:rsid w:val="00556EBB"/>
    <w:rsid w:val="005575D7"/>
    <w:rsid w:val="00560E46"/>
    <w:rsid w:val="005612C8"/>
    <w:rsid w:val="005619CB"/>
    <w:rsid w:val="00564166"/>
    <w:rsid w:val="00565BCA"/>
    <w:rsid w:val="0056717D"/>
    <w:rsid w:val="00571D80"/>
    <w:rsid w:val="00571EF8"/>
    <w:rsid w:val="005729D2"/>
    <w:rsid w:val="005768E5"/>
    <w:rsid w:val="00577D02"/>
    <w:rsid w:val="00586100"/>
    <w:rsid w:val="0059356C"/>
    <w:rsid w:val="00594615"/>
    <w:rsid w:val="00596E0D"/>
    <w:rsid w:val="005A1D33"/>
    <w:rsid w:val="005A214A"/>
    <w:rsid w:val="005A59CB"/>
    <w:rsid w:val="005B229A"/>
    <w:rsid w:val="005B3519"/>
    <w:rsid w:val="005B3B37"/>
    <w:rsid w:val="005B6ADC"/>
    <w:rsid w:val="005C54A8"/>
    <w:rsid w:val="005C58AE"/>
    <w:rsid w:val="005C5B6F"/>
    <w:rsid w:val="005C7A07"/>
    <w:rsid w:val="005D5E8C"/>
    <w:rsid w:val="005D61ED"/>
    <w:rsid w:val="005D6C31"/>
    <w:rsid w:val="005D7C3F"/>
    <w:rsid w:val="005E6898"/>
    <w:rsid w:val="005E6DF6"/>
    <w:rsid w:val="005F4FE5"/>
    <w:rsid w:val="005F799B"/>
    <w:rsid w:val="006007E9"/>
    <w:rsid w:val="0060150D"/>
    <w:rsid w:val="006131F6"/>
    <w:rsid w:val="006144D5"/>
    <w:rsid w:val="00615E43"/>
    <w:rsid w:val="006160AF"/>
    <w:rsid w:val="0061626F"/>
    <w:rsid w:val="00623254"/>
    <w:rsid w:val="00625722"/>
    <w:rsid w:val="00625F57"/>
    <w:rsid w:val="006268BF"/>
    <w:rsid w:val="00630095"/>
    <w:rsid w:val="0063225F"/>
    <w:rsid w:val="00632569"/>
    <w:rsid w:val="00633AA2"/>
    <w:rsid w:val="00633B6D"/>
    <w:rsid w:val="00633E09"/>
    <w:rsid w:val="00642FAA"/>
    <w:rsid w:val="00644D78"/>
    <w:rsid w:val="00654CE5"/>
    <w:rsid w:val="006575D9"/>
    <w:rsid w:val="00665812"/>
    <w:rsid w:val="00666502"/>
    <w:rsid w:val="006700C7"/>
    <w:rsid w:val="00670794"/>
    <w:rsid w:val="006737CE"/>
    <w:rsid w:val="00673869"/>
    <w:rsid w:val="00674CDE"/>
    <w:rsid w:val="0067507F"/>
    <w:rsid w:val="00675CD2"/>
    <w:rsid w:val="00676E93"/>
    <w:rsid w:val="00677A47"/>
    <w:rsid w:val="006815EC"/>
    <w:rsid w:val="006817D3"/>
    <w:rsid w:val="00681F7A"/>
    <w:rsid w:val="006824E5"/>
    <w:rsid w:val="006835E3"/>
    <w:rsid w:val="00685878"/>
    <w:rsid w:val="0068734C"/>
    <w:rsid w:val="00691059"/>
    <w:rsid w:val="0069239B"/>
    <w:rsid w:val="0069564D"/>
    <w:rsid w:val="0069760F"/>
    <w:rsid w:val="00697865"/>
    <w:rsid w:val="006A086D"/>
    <w:rsid w:val="006A0AFA"/>
    <w:rsid w:val="006A24E5"/>
    <w:rsid w:val="006A33BA"/>
    <w:rsid w:val="006A35B2"/>
    <w:rsid w:val="006B12F3"/>
    <w:rsid w:val="006B302E"/>
    <w:rsid w:val="006B407F"/>
    <w:rsid w:val="006B49E3"/>
    <w:rsid w:val="006B5E37"/>
    <w:rsid w:val="006B731A"/>
    <w:rsid w:val="006C2D8B"/>
    <w:rsid w:val="006C32EC"/>
    <w:rsid w:val="006C4EDB"/>
    <w:rsid w:val="006D007D"/>
    <w:rsid w:val="006D318C"/>
    <w:rsid w:val="006D65A9"/>
    <w:rsid w:val="006D6AC0"/>
    <w:rsid w:val="006D6CB3"/>
    <w:rsid w:val="006D7CE8"/>
    <w:rsid w:val="006E1D0A"/>
    <w:rsid w:val="006E316C"/>
    <w:rsid w:val="006F379D"/>
    <w:rsid w:val="006F3C5F"/>
    <w:rsid w:val="006F6125"/>
    <w:rsid w:val="006F69EB"/>
    <w:rsid w:val="0070010A"/>
    <w:rsid w:val="00700A50"/>
    <w:rsid w:val="0070367B"/>
    <w:rsid w:val="00711775"/>
    <w:rsid w:val="007118D2"/>
    <w:rsid w:val="00712C05"/>
    <w:rsid w:val="00713A58"/>
    <w:rsid w:val="00714FEF"/>
    <w:rsid w:val="007150E6"/>
    <w:rsid w:val="00715FBD"/>
    <w:rsid w:val="00720599"/>
    <w:rsid w:val="00724696"/>
    <w:rsid w:val="007342B5"/>
    <w:rsid w:val="00734F22"/>
    <w:rsid w:val="00744F57"/>
    <w:rsid w:val="007549AC"/>
    <w:rsid w:val="00755E13"/>
    <w:rsid w:val="00757267"/>
    <w:rsid w:val="00760502"/>
    <w:rsid w:val="0076252D"/>
    <w:rsid w:val="0076500C"/>
    <w:rsid w:val="00765030"/>
    <w:rsid w:val="00766732"/>
    <w:rsid w:val="007667EA"/>
    <w:rsid w:val="00767B46"/>
    <w:rsid w:val="00774FEA"/>
    <w:rsid w:val="0077614E"/>
    <w:rsid w:val="007765AC"/>
    <w:rsid w:val="007773CA"/>
    <w:rsid w:val="0078300E"/>
    <w:rsid w:val="007871F5"/>
    <w:rsid w:val="00791ED7"/>
    <w:rsid w:val="00792DA8"/>
    <w:rsid w:val="0079485A"/>
    <w:rsid w:val="0079607A"/>
    <w:rsid w:val="00796D8F"/>
    <w:rsid w:val="0079709C"/>
    <w:rsid w:val="007A1BD1"/>
    <w:rsid w:val="007A3A2A"/>
    <w:rsid w:val="007A4253"/>
    <w:rsid w:val="007A7820"/>
    <w:rsid w:val="007A7E64"/>
    <w:rsid w:val="007B099C"/>
    <w:rsid w:val="007B30A9"/>
    <w:rsid w:val="007B331E"/>
    <w:rsid w:val="007B7085"/>
    <w:rsid w:val="007C0055"/>
    <w:rsid w:val="007C271E"/>
    <w:rsid w:val="007C52DA"/>
    <w:rsid w:val="007C54AE"/>
    <w:rsid w:val="007C59BA"/>
    <w:rsid w:val="007C6985"/>
    <w:rsid w:val="007D0BA4"/>
    <w:rsid w:val="007D21E4"/>
    <w:rsid w:val="007D4D24"/>
    <w:rsid w:val="007E0191"/>
    <w:rsid w:val="007E328B"/>
    <w:rsid w:val="007E3929"/>
    <w:rsid w:val="007E5724"/>
    <w:rsid w:val="007E6174"/>
    <w:rsid w:val="007E75F0"/>
    <w:rsid w:val="007F2A29"/>
    <w:rsid w:val="007F42D5"/>
    <w:rsid w:val="00800041"/>
    <w:rsid w:val="0080026E"/>
    <w:rsid w:val="008002D6"/>
    <w:rsid w:val="00802301"/>
    <w:rsid w:val="00805A11"/>
    <w:rsid w:val="0081102C"/>
    <w:rsid w:val="00811715"/>
    <w:rsid w:val="0081307B"/>
    <w:rsid w:val="00814B2D"/>
    <w:rsid w:val="00814EA4"/>
    <w:rsid w:val="00815C03"/>
    <w:rsid w:val="008166B5"/>
    <w:rsid w:val="00817986"/>
    <w:rsid w:val="00822E0E"/>
    <w:rsid w:val="00825F59"/>
    <w:rsid w:val="00826446"/>
    <w:rsid w:val="00826EC4"/>
    <w:rsid w:val="00832958"/>
    <w:rsid w:val="00835541"/>
    <w:rsid w:val="00843EA6"/>
    <w:rsid w:val="00845017"/>
    <w:rsid w:val="00845C2D"/>
    <w:rsid w:val="00850479"/>
    <w:rsid w:val="0085099B"/>
    <w:rsid w:val="00850E20"/>
    <w:rsid w:val="00850E70"/>
    <w:rsid w:val="008519B1"/>
    <w:rsid w:val="00854565"/>
    <w:rsid w:val="00854CE2"/>
    <w:rsid w:val="00854E30"/>
    <w:rsid w:val="008552E8"/>
    <w:rsid w:val="008555B1"/>
    <w:rsid w:val="00856035"/>
    <w:rsid w:val="00857DE5"/>
    <w:rsid w:val="008617C4"/>
    <w:rsid w:val="00861889"/>
    <w:rsid w:val="0086231A"/>
    <w:rsid w:val="00866D86"/>
    <w:rsid w:val="00870FE7"/>
    <w:rsid w:val="00873E76"/>
    <w:rsid w:val="0088296A"/>
    <w:rsid w:val="00883141"/>
    <w:rsid w:val="008832E7"/>
    <w:rsid w:val="00890729"/>
    <w:rsid w:val="00891AAE"/>
    <w:rsid w:val="008A05E8"/>
    <w:rsid w:val="008A2810"/>
    <w:rsid w:val="008A45DA"/>
    <w:rsid w:val="008A48F3"/>
    <w:rsid w:val="008A4A0E"/>
    <w:rsid w:val="008A66C3"/>
    <w:rsid w:val="008A6CDF"/>
    <w:rsid w:val="008B64F8"/>
    <w:rsid w:val="008B7A06"/>
    <w:rsid w:val="008C09FF"/>
    <w:rsid w:val="008C4324"/>
    <w:rsid w:val="008C6033"/>
    <w:rsid w:val="008C6DFD"/>
    <w:rsid w:val="008C7B33"/>
    <w:rsid w:val="008D1B34"/>
    <w:rsid w:val="008D35FD"/>
    <w:rsid w:val="008D5347"/>
    <w:rsid w:val="008D7FC5"/>
    <w:rsid w:val="008E0A32"/>
    <w:rsid w:val="008E0A4B"/>
    <w:rsid w:val="008E44AD"/>
    <w:rsid w:val="008E47A5"/>
    <w:rsid w:val="008F5EE0"/>
    <w:rsid w:val="00900F45"/>
    <w:rsid w:val="0090129A"/>
    <w:rsid w:val="00901A79"/>
    <w:rsid w:val="0090471F"/>
    <w:rsid w:val="00904E29"/>
    <w:rsid w:val="00907464"/>
    <w:rsid w:val="00910CDD"/>
    <w:rsid w:val="00911997"/>
    <w:rsid w:val="00911BCB"/>
    <w:rsid w:val="00911CA4"/>
    <w:rsid w:val="009139BE"/>
    <w:rsid w:val="00914CDB"/>
    <w:rsid w:val="0091581A"/>
    <w:rsid w:val="009215DE"/>
    <w:rsid w:val="0092331C"/>
    <w:rsid w:val="00924479"/>
    <w:rsid w:val="009333AD"/>
    <w:rsid w:val="009369B3"/>
    <w:rsid w:val="0093740D"/>
    <w:rsid w:val="009405B3"/>
    <w:rsid w:val="00940B83"/>
    <w:rsid w:val="00943F4D"/>
    <w:rsid w:val="009467C9"/>
    <w:rsid w:val="00950994"/>
    <w:rsid w:val="00953576"/>
    <w:rsid w:val="009572B2"/>
    <w:rsid w:val="0096247A"/>
    <w:rsid w:val="0096373A"/>
    <w:rsid w:val="00963BA6"/>
    <w:rsid w:val="00964A44"/>
    <w:rsid w:val="009738B8"/>
    <w:rsid w:val="00977C22"/>
    <w:rsid w:val="00980008"/>
    <w:rsid w:val="009803E3"/>
    <w:rsid w:val="00983803"/>
    <w:rsid w:val="00987643"/>
    <w:rsid w:val="0099025A"/>
    <w:rsid w:val="00991474"/>
    <w:rsid w:val="0099357B"/>
    <w:rsid w:val="009947C8"/>
    <w:rsid w:val="0099539C"/>
    <w:rsid w:val="00995A96"/>
    <w:rsid w:val="00995FD8"/>
    <w:rsid w:val="0099668D"/>
    <w:rsid w:val="00997D0F"/>
    <w:rsid w:val="009A0445"/>
    <w:rsid w:val="009A79EC"/>
    <w:rsid w:val="009B3A2A"/>
    <w:rsid w:val="009C01C1"/>
    <w:rsid w:val="009C0CF1"/>
    <w:rsid w:val="009C12CE"/>
    <w:rsid w:val="009C25B5"/>
    <w:rsid w:val="009C5AA9"/>
    <w:rsid w:val="009C66C6"/>
    <w:rsid w:val="009D04E6"/>
    <w:rsid w:val="009D1AAC"/>
    <w:rsid w:val="009D325E"/>
    <w:rsid w:val="009D6EAC"/>
    <w:rsid w:val="009D6EC2"/>
    <w:rsid w:val="009E1A0C"/>
    <w:rsid w:val="009E2D5E"/>
    <w:rsid w:val="009E3D2B"/>
    <w:rsid w:val="009E3DCB"/>
    <w:rsid w:val="009E6543"/>
    <w:rsid w:val="009E7870"/>
    <w:rsid w:val="009F0958"/>
    <w:rsid w:val="009F4BE9"/>
    <w:rsid w:val="00A0110D"/>
    <w:rsid w:val="00A01358"/>
    <w:rsid w:val="00A01CF0"/>
    <w:rsid w:val="00A03724"/>
    <w:rsid w:val="00A062E0"/>
    <w:rsid w:val="00A12809"/>
    <w:rsid w:val="00A24D48"/>
    <w:rsid w:val="00A258BA"/>
    <w:rsid w:val="00A319A3"/>
    <w:rsid w:val="00A3326F"/>
    <w:rsid w:val="00A3382A"/>
    <w:rsid w:val="00A3678D"/>
    <w:rsid w:val="00A378F5"/>
    <w:rsid w:val="00A4296D"/>
    <w:rsid w:val="00A43FF0"/>
    <w:rsid w:val="00A446C4"/>
    <w:rsid w:val="00A46120"/>
    <w:rsid w:val="00A46354"/>
    <w:rsid w:val="00A46E3B"/>
    <w:rsid w:val="00A5376E"/>
    <w:rsid w:val="00A70060"/>
    <w:rsid w:val="00A707A0"/>
    <w:rsid w:val="00A72D16"/>
    <w:rsid w:val="00A743EB"/>
    <w:rsid w:val="00A74C7D"/>
    <w:rsid w:val="00A74D0D"/>
    <w:rsid w:val="00A8159E"/>
    <w:rsid w:val="00A835A5"/>
    <w:rsid w:val="00A83ADA"/>
    <w:rsid w:val="00A83E92"/>
    <w:rsid w:val="00A8634B"/>
    <w:rsid w:val="00A90D51"/>
    <w:rsid w:val="00A9186D"/>
    <w:rsid w:val="00A9376F"/>
    <w:rsid w:val="00AA1844"/>
    <w:rsid w:val="00AA3C8B"/>
    <w:rsid w:val="00AA4068"/>
    <w:rsid w:val="00AA7F3A"/>
    <w:rsid w:val="00AB0BC8"/>
    <w:rsid w:val="00AB1470"/>
    <w:rsid w:val="00AB43A1"/>
    <w:rsid w:val="00AB4C14"/>
    <w:rsid w:val="00AB5399"/>
    <w:rsid w:val="00AB5B8C"/>
    <w:rsid w:val="00AB5EE9"/>
    <w:rsid w:val="00AB5FDC"/>
    <w:rsid w:val="00AC0502"/>
    <w:rsid w:val="00AC1DBD"/>
    <w:rsid w:val="00AC2D3C"/>
    <w:rsid w:val="00AC3B22"/>
    <w:rsid w:val="00AC5F3A"/>
    <w:rsid w:val="00AD0BAC"/>
    <w:rsid w:val="00AD18A6"/>
    <w:rsid w:val="00AD29AA"/>
    <w:rsid w:val="00AD29DD"/>
    <w:rsid w:val="00AD4366"/>
    <w:rsid w:val="00AD4B62"/>
    <w:rsid w:val="00AD6900"/>
    <w:rsid w:val="00AE144A"/>
    <w:rsid w:val="00AE493F"/>
    <w:rsid w:val="00AE51B2"/>
    <w:rsid w:val="00AF1E59"/>
    <w:rsid w:val="00AF40F3"/>
    <w:rsid w:val="00AF45D0"/>
    <w:rsid w:val="00AF494E"/>
    <w:rsid w:val="00AF629E"/>
    <w:rsid w:val="00AF67C9"/>
    <w:rsid w:val="00AF79C9"/>
    <w:rsid w:val="00B00B56"/>
    <w:rsid w:val="00B02916"/>
    <w:rsid w:val="00B03DDC"/>
    <w:rsid w:val="00B07347"/>
    <w:rsid w:val="00B1011D"/>
    <w:rsid w:val="00B11291"/>
    <w:rsid w:val="00B14F32"/>
    <w:rsid w:val="00B169FA"/>
    <w:rsid w:val="00B218E8"/>
    <w:rsid w:val="00B236BC"/>
    <w:rsid w:val="00B23BA8"/>
    <w:rsid w:val="00B23CAE"/>
    <w:rsid w:val="00B2453C"/>
    <w:rsid w:val="00B2557C"/>
    <w:rsid w:val="00B31EFE"/>
    <w:rsid w:val="00B33AF1"/>
    <w:rsid w:val="00B33DFC"/>
    <w:rsid w:val="00B3449A"/>
    <w:rsid w:val="00B34B0F"/>
    <w:rsid w:val="00B378D9"/>
    <w:rsid w:val="00B37CF2"/>
    <w:rsid w:val="00B469D1"/>
    <w:rsid w:val="00B53618"/>
    <w:rsid w:val="00B5590D"/>
    <w:rsid w:val="00B5618F"/>
    <w:rsid w:val="00B56417"/>
    <w:rsid w:val="00B5655C"/>
    <w:rsid w:val="00B56C4A"/>
    <w:rsid w:val="00B57D56"/>
    <w:rsid w:val="00B63DE3"/>
    <w:rsid w:val="00B73C1A"/>
    <w:rsid w:val="00B73C43"/>
    <w:rsid w:val="00B73F32"/>
    <w:rsid w:val="00B755BD"/>
    <w:rsid w:val="00B7618A"/>
    <w:rsid w:val="00B766C3"/>
    <w:rsid w:val="00B803D5"/>
    <w:rsid w:val="00B830F7"/>
    <w:rsid w:val="00B90096"/>
    <w:rsid w:val="00B90E29"/>
    <w:rsid w:val="00B943DC"/>
    <w:rsid w:val="00B94BF6"/>
    <w:rsid w:val="00B955CF"/>
    <w:rsid w:val="00B969EA"/>
    <w:rsid w:val="00B971F6"/>
    <w:rsid w:val="00BA3F31"/>
    <w:rsid w:val="00BA43CC"/>
    <w:rsid w:val="00BA682E"/>
    <w:rsid w:val="00BA7133"/>
    <w:rsid w:val="00BB0B54"/>
    <w:rsid w:val="00BC30B9"/>
    <w:rsid w:val="00BC33D1"/>
    <w:rsid w:val="00BC39E6"/>
    <w:rsid w:val="00BC3FB7"/>
    <w:rsid w:val="00BD0EB6"/>
    <w:rsid w:val="00BD7D3F"/>
    <w:rsid w:val="00BE37F1"/>
    <w:rsid w:val="00BE39B7"/>
    <w:rsid w:val="00BE48DD"/>
    <w:rsid w:val="00BE4C0A"/>
    <w:rsid w:val="00BE5E62"/>
    <w:rsid w:val="00BE6119"/>
    <w:rsid w:val="00BF54E1"/>
    <w:rsid w:val="00BF5516"/>
    <w:rsid w:val="00BF5C45"/>
    <w:rsid w:val="00BF7D92"/>
    <w:rsid w:val="00C007F2"/>
    <w:rsid w:val="00C03CA0"/>
    <w:rsid w:val="00C05766"/>
    <w:rsid w:val="00C069C2"/>
    <w:rsid w:val="00C06DC6"/>
    <w:rsid w:val="00C075AF"/>
    <w:rsid w:val="00C13466"/>
    <w:rsid w:val="00C13ADE"/>
    <w:rsid w:val="00C149A8"/>
    <w:rsid w:val="00C15CE9"/>
    <w:rsid w:val="00C1656A"/>
    <w:rsid w:val="00C21C09"/>
    <w:rsid w:val="00C23796"/>
    <w:rsid w:val="00C23952"/>
    <w:rsid w:val="00C30941"/>
    <w:rsid w:val="00C310FA"/>
    <w:rsid w:val="00C35D41"/>
    <w:rsid w:val="00C36644"/>
    <w:rsid w:val="00C36F5F"/>
    <w:rsid w:val="00C377B1"/>
    <w:rsid w:val="00C408D4"/>
    <w:rsid w:val="00C43311"/>
    <w:rsid w:val="00C43F76"/>
    <w:rsid w:val="00C44324"/>
    <w:rsid w:val="00C46C94"/>
    <w:rsid w:val="00C4700E"/>
    <w:rsid w:val="00C47984"/>
    <w:rsid w:val="00C5006A"/>
    <w:rsid w:val="00C549CD"/>
    <w:rsid w:val="00C6028E"/>
    <w:rsid w:val="00C61BC5"/>
    <w:rsid w:val="00C63AA7"/>
    <w:rsid w:val="00C65DCB"/>
    <w:rsid w:val="00C67DC6"/>
    <w:rsid w:val="00C76B30"/>
    <w:rsid w:val="00C83499"/>
    <w:rsid w:val="00C85A2F"/>
    <w:rsid w:val="00C90379"/>
    <w:rsid w:val="00C926EC"/>
    <w:rsid w:val="00CA0071"/>
    <w:rsid w:val="00CA2193"/>
    <w:rsid w:val="00CA3533"/>
    <w:rsid w:val="00CA6E6C"/>
    <w:rsid w:val="00CB0AA5"/>
    <w:rsid w:val="00CB556B"/>
    <w:rsid w:val="00CB7A3C"/>
    <w:rsid w:val="00CC0336"/>
    <w:rsid w:val="00CC09BE"/>
    <w:rsid w:val="00CC10B5"/>
    <w:rsid w:val="00CC3AF8"/>
    <w:rsid w:val="00CC7B9A"/>
    <w:rsid w:val="00CD61E0"/>
    <w:rsid w:val="00CE02D8"/>
    <w:rsid w:val="00CE06D0"/>
    <w:rsid w:val="00CE1C4F"/>
    <w:rsid w:val="00CE319F"/>
    <w:rsid w:val="00CE4D1C"/>
    <w:rsid w:val="00CE7F9F"/>
    <w:rsid w:val="00CF0E65"/>
    <w:rsid w:val="00CF31BB"/>
    <w:rsid w:val="00CF3CA0"/>
    <w:rsid w:val="00CF5DCF"/>
    <w:rsid w:val="00CF6BFB"/>
    <w:rsid w:val="00CF712B"/>
    <w:rsid w:val="00CF7A0B"/>
    <w:rsid w:val="00D0300F"/>
    <w:rsid w:val="00D03ABB"/>
    <w:rsid w:val="00D056E1"/>
    <w:rsid w:val="00D059D2"/>
    <w:rsid w:val="00D12707"/>
    <w:rsid w:val="00D12735"/>
    <w:rsid w:val="00D17280"/>
    <w:rsid w:val="00D215A8"/>
    <w:rsid w:val="00D3015C"/>
    <w:rsid w:val="00D31890"/>
    <w:rsid w:val="00D34C9D"/>
    <w:rsid w:val="00D366CE"/>
    <w:rsid w:val="00D36B6B"/>
    <w:rsid w:val="00D4039E"/>
    <w:rsid w:val="00D42F2E"/>
    <w:rsid w:val="00D43B0E"/>
    <w:rsid w:val="00D50388"/>
    <w:rsid w:val="00D5238C"/>
    <w:rsid w:val="00D55010"/>
    <w:rsid w:val="00D5548B"/>
    <w:rsid w:val="00D64371"/>
    <w:rsid w:val="00D64E4D"/>
    <w:rsid w:val="00D67B07"/>
    <w:rsid w:val="00D70070"/>
    <w:rsid w:val="00D71687"/>
    <w:rsid w:val="00D72158"/>
    <w:rsid w:val="00D736AD"/>
    <w:rsid w:val="00D761A7"/>
    <w:rsid w:val="00D80554"/>
    <w:rsid w:val="00D81406"/>
    <w:rsid w:val="00D824D6"/>
    <w:rsid w:val="00D8258F"/>
    <w:rsid w:val="00D904A8"/>
    <w:rsid w:val="00D94DC3"/>
    <w:rsid w:val="00D957D7"/>
    <w:rsid w:val="00D9585F"/>
    <w:rsid w:val="00D96AAC"/>
    <w:rsid w:val="00D97725"/>
    <w:rsid w:val="00DA02F3"/>
    <w:rsid w:val="00DA183C"/>
    <w:rsid w:val="00DA4CD7"/>
    <w:rsid w:val="00DB2338"/>
    <w:rsid w:val="00DB3072"/>
    <w:rsid w:val="00DB3ABD"/>
    <w:rsid w:val="00DB3AFB"/>
    <w:rsid w:val="00DB5913"/>
    <w:rsid w:val="00DB6B27"/>
    <w:rsid w:val="00DC619D"/>
    <w:rsid w:val="00DC66E8"/>
    <w:rsid w:val="00DC67C3"/>
    <w:rsid w:val="00DC696C"/>
    <w:rsid w:val="00DD1194"/>
    <w:rsid w:val="00DD29F4"/>
    <w:rsid w:val="00DD39D8"/>
    <w:rsid w:val="00DD3D6F"/>
    <w:rsid w:val="00DD5577"/>
    <w:rsid w:val="00DD6425"/>
    <w:rsid w:val="00DD6775"/>
    <w:rsid w:val="00DD67E2"/>
    <w:rsid w:val="00DD6DB4"/>
    <w:rsid w:val="00DD6F9E"/>
    <w:rsid w:val="00DE5755"/>
    <w:rsid w:val="00DF0B4A"/>
    <w:rsid w:val="00DF1BA8"/>
    <w:rsid w:val="00DF4FDD"/>
    <w:rsid w:val="00DF50B4"/>
    <w:rsid w:val="00DF51D1"/>
    <w:rsid w:val="00DF62BA"/>
    <w:rsid w:val="00DF79E8"/>
    <w:rsid w:val="00E013FE"/>
    <w:rsid w:val="00E025B7"/>
    <w:rsid w:val="00E04619"/>
    <w:rsid w:val="00E054FF"/>
    <w:rsid w:val="00E0568D"/>
    <w:rsid w:val="00E11376"/>
    <w:rsid w:val="00E129DE"/>
    <w:rsid w:val="00E1305F"/>
    <w:rsid w:val="00E14269"/>
    <w:rsid w:val="00E15D4B"/>
    <w:rsid w:val="00E176DB"/>
    <w:rsid w:val="00E2160D"/>
    <w:rsid w:val="00E23A39"/>
    <w:rsid w:val="00E24D87"/>
    <w:rsid w:val="00E27448"/>
    <w:rsid w:val="00E27B19"/>
    <w:rsid w:val="00E30D70"/>
    <w:rsid w:val="00E333B8"/>
    <w:rsid w:val="00E448D6"/>
    <w:rsid w:val="00E51B8C"/>
    <w:rsid w:val="00E547A2"/>
    <w:rsid w:val="00E55037"/>
    <w:rsid w:val="00E55149"/>
    <w:rsid w:val="00E55D4C"/>
    <w:rsid w:val="00E6077D"/>
    <w:rsid w:val="00E62BF0"/>
    <w:rsid w:val="00E63315"/>
    <w:rsid w:val="00E658CB"/>
    <w:rsid w:val="00E66060"/>
    <w:rsid w:val="00E707BA"/>
    <w:rsid w:val="00E713A1"/>
    <w:rsid w:val="00E7323A"/>
    <w:rsid w:val="00E74218"/>
    <w:rsid w:val="00E755A9"/>
    <w:rsid w:val="00E75BF2"/>
    <w:rsid w:val="00E834CA"/>
    <w:rsid w:val="00E863D8"/>
    <w:rsid w:val="00E87A18"/>
    <w:rsid w:val="00E9064E"/>
    <w:rsid w:val="00E91C8F"/>
    <w:rsid w:val="00E92587"/>
    <w:rsid w:val="00E9332A"/>
    <w:rsid w:val="00E9504C"/>
    <w:rsid w:val="00E969D3"/>
    <w:rsid w:val="00E96F1A"/>
    <w:rsid w:val="00EA0FDC"/>
    <w:rsid w:val="00EA1372"/>
    <w:rsid w:val="00EA23F0"/>
    <w:rsid w:val="00EA2A2D"/>
    <w:rsid w:val="00EA441D"/>
    <w:rsid w:val="00EA677B"/>
    <w:rsid w:val="00EA6B6C"/>
    <w:rsid w:val="00EB1C46"/>
    <w:rsid w:val="00EB4A22"/>
    <w:rsid w:val="00EB6ABF"/>
    <w:rsid w:val="00EB7CBF"/>
    <w:rsid w:val="00EC1524"/>
    <w:rsid w:val="00EC1E16"/>
    <w:rsid w:val="00EC262E"/>
    <w:rsid w:val="00EC7DFF"/>
    <w:rsid w:val="00ED1B46"/>
    <w:rsid w:val="00ED5AE6"/>
    <w:rsid w:val="00ED7736"/>
    <w:rsid w:val="00EE283A"/>
    <w:rsid w:val="00EE4C79"/>
    <w:rsid w:val="00EE7748"/>
    <w:rsid w:val="00EF0190"/>
    <w:rsid w:val="00EF3F8F"/>
    <w:rsid w:val="00EF5750"/>
    <w:rsid w:val="00F00A71"/>
    <w:rsid w:val="00F02B55"/>
    <w:rsid w:val="00F10504"/>
    <w:rsid w:val="00F11736"/>
    <w:rsid w:val="00F12E40"/>
    <w:rsid w:val="00F17C92"/>
    <w:rsid w:val="00F26EBC"/>
    <w:rsid w:val="00F26EFE"/>
    <w:rsid w:val="00F30506"/>
    <w:rsid w:val="00F30D7F"/>
    <w:rsid w:val="00F3178D"/>
    <w:rsid w:val="00F31E3C"/>
    <w:rsid w:val="00F37B83"/>
    <w:rsid w:val="00F40ED2"/>
    <w:rsid w:val="00F41236"/>
    <w:rsid w:val="00F42E5C"/>
    <w:rsid w:val="00F4509D"/>
    <w:rsid w:val="00F45D93"/>
    <w:rsid w:val="00F466AB"/>
    <w:rsid w:val="00F50FDC"/>
    <w:rsid w:val="00F52056"/>
    <w:rsid w:val="00F52ABD"/>
    <w:rsid w:val="00F54901"/>
    <w:rsid w:val="00F568E9"/>
    <w:rsid w:val="00F57860"/>
    <w:rsid w:val="00F61640"/>
    <w:rsid w:val="00F66446"/>
    <w:rsid w:val="00F6661F"/>
    <w:rsid w:val="00F67C81"/>
    <w:rsid w:val="00F70315"/>
    <w:rsid w:val="00F72CB7"/>
    <w:rsid w:val="00F7529B"/>
    <w:rsid w:val="00F8142B"/>
    <w:rsid w:val="00F8377A"/>
    <w:rsid w:val="00F84589"/>
    <w:rsid w:val="00F863A9"/>
    <w:rsid w:val="00F86996"/>
    <w:rsid w:val="00F900C5"/>
    <w:rsid w:val="00F93218"/>
    <w:rsid w:val="00F93E4D"/>
    <w:rsid w:val="00F951C1"/>
    <w:rsid w:val="00F977F7"/>
    <w:rsid w:val="00FA2B1A"/>
    <w:rsid w:val="00FA3584"/>
    <w:rsid w:val="00FA42F3"/>
    <w:rsid w:val="00FA514A"/>
    <w:rsid w:val="00FA5776"/>
    <w:rsid w:val="00FA70CA"/>
    <w:rsid w:val="00FA764A"/>
    <w:rsid w:val="00FB34E0"/>
    <w:rsid w:val="00FB3B7D"/>
    <w:rsid w:val="00FC1F4F"/>
    <w:rsid w:val="00FC2FBE"/>
    <w:rsid w:val="00FC405D"/>
    <w:rsid w:val="00FC6E6F"/>
    <w:rsid w:val="00FD0621"/>
    <w:rsid w:val="00FD0993"/>
    <w:rsid w:val="00FD1033"/>
    <w:rsid w:val="00FD22BD"/>
    <w:rsid w:val="00FD22DF"/>
    <w:rsid w:val="00FD2EA8"/>
    <w:rsid w:val="00FD48A7"/>
    <w:rsid w:val="00FD6C66"/>
    <w:rsid w:val="00FE0B89"/>
    <w:rsid w:val="00FE1A16"/>
    <w:rsid w:val="00FE2B71"/>
    <w:rsid w:val="00FE3473"/>
    <w:rsid w:val="00FE4C5F"/>
    <w:rsid w:val="00FF47EA"/>
    <w:rsid w:val="00FF617F"/>
    <w:rsid w:val="00FF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colormru v:ext="edit" colors="green,#060,#c00"/>
    </o:shapedefaults>
    <o:shapelayout v:ext="edit">
      <o:idmap v:ext="edit" data="1"/>
    </o:shapelayout>
  </w:shapeDefaults>
  <w:decimalSymbol w:val=","/>
  <w:listSeparator w:val=";"/>
  <w14:docId w14:val="3CB9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5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283A"/>
    <w:rPr>
      <w:color w:val="0000FF"/>
      <w:u w:val="single"/>
    </w:rPr>
  </w:style>
  <w:style w:type="paragraph" w:styleId="a4">
    <w:name w:val="header"/>
    <w:basedOn w:val="a"/>
    <w:rsid w:val="00EE283A"/>
    <w:pPr>
      <w:tabs>
        <w:tab w:val="center" w:pos="4677"/>
        <w:tab w:val="right" w:pos="9355"/>
      </w:tabs>
    </w:pPr>
  </w:style>
  <w:style w:type="character" w:styleId="a5">
    <w:name w:val="page number"/>
    <w:basedOn w:val="a0"/>
    <w:rsid w:val="00D43B0E"/>
  </w:style>
  <w:style w:type="paragraph" w:styleId="a6">
    <w:name w:val="footer"/>
    <w:basedOn w:val="a"/>
    <w:rsid w:val="00D43B0E"/>
    <w:pPr>
      <w:tabs>
        <w:tab w:val="center" w:pos="4677"/>
        <w:tab w:val="right" w:pos="9355"/>
      </w:tabs>
    </w:pPr>
  </w:style>
  <w:style w:type="paragraph" w:styleId="a7">
    <w:name w:val="Balloon Text"/>
    <w:basedOn w:val="a"/>
    <w:semiHidden/>
    <w:rsid w:val="00D43B0E"/>
    <w:rPr>
      <w:rFonts w:ascii="Tahoma" w:hAnsi="Tahoma" w:cs="Tahoma"/>
      <w:sz w:val="16"/>
      <w:szCs w:val="16"/>
    </w:rPr>
  </w:style>
  <w:style w:type="paragraph" w:styleId="a8">
    <w:name w:val="Plain Text"/>
    <w:basedOn w:val="a"/>
    <w:link w:val="a9"/>
    <w:rsid w:val="008D1B34"/>
    <w:rPr>
      <w:rFonts w:ascii="Courier New" w:hAnsi="Courier New"/>
      <w:sz w:val="20"/>
      <w:szCs w:val="20"/>
    </w:rPr>
  </w:style>
  <w:style w:type="character" w:customStyle="1" w:styleId="a9">
    <w:name w:val="Текст Знак"/>
    <w:link w:val="a8"/>
    <w:rsid w:val="008D1B34"/>
    <w:rPr>
      <w:rFonts w:ascii="Courier New" w:hAnsi="Courier New"/>
      <w:lang w:val="ru-RU" w:eastAsia="ru-RU" w:bidi="ar-SA"/>
    </w:rPr>
  </w:style>
  <w:style w:type="table" w:styleId="aa">
    <w:name w:val="Table Grid"/>
    <w:basedOn w:val="a1"/>
    <w:rsid w:val="0006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676E93"/>
    <w:rPr>
      <w:b/>
      <w:bCs/>
    </w:rPr>
  </w:style>
  <w:style w:type="character" w:customStyle="1" w:styleId="apple-converted-space">
    <w:name w:val="apple-converted-space"/>
    <w:basedOn w:val="a0"/>
    <w:rsid w:val="00676E93"/>
  </w:style>
  <w:style w:type="paragraph" w:customStyle="1" w:styleId="Default">
    <w:name w:val="Default"/>
    <w:rsid w:val="00DC619D"/>
    <w:pPr>
      <w:autoSpaceDE w:val="0"/>
      <w:autoSpaceDN w:val="0"/>
      <w:adjustRightInd w:val="0"/>
    </w:pPr>
    <w:rPr>
      <w:rFonts w:ascii="Courier New" w:hAnsi="Courier New" w:cs="Courier New"/>
      <w:color w:val="000000"/>
      <w:sz w:val="24"/>
      <w:szCs w:val="24"/>
    </w:rPr>
  </w:style>
  <w:style w:type="character" w:styleId="ac">
    <w:name w:val="annotation reference"/>
    <w:rsid w:val="00F863A9"/>
    <w:rPr>
      <w:sz w:val="16"/>
      <w:szCs w:val="16"/>
    </w:rPr>
  </w:style>
  <w:style w:type="paragraph" w:styleId="ad">
    <w:name w:val="annotation text"/>
    <w:basedOn w:val="a"/>
    <w:link w:val="ae"/>
    <w:rsid w:val="00F863A9"/>
    <w:rPr>
      <w:sz w:val="20"/>
      <w:szCs w:val="20"/>
    </w:rPr>
  </w:style>
  <w:style w:type="character" w:customStyle="1" w:styleId="ae">
    <w:name w:val="Текст примечания Знак"/>
    <w:basedOn w:val="a0"/>
    <w:link w:val="ad"/>
    <w:rsid w:val="00F863A9"/>
  </w:style>
  <w:style w:type="paragraph" w:styleId="af">
    <w:name w:val="annotation subject"/>
    <w:basedOn w:val="ad"/>
    <w:next w:val="ad"/>
    <w:link w:val="af0"/>
    <w:rsid w:val="00F863A9"/>
    <w:rPr>
      <w:b/>
      <w:bCs/>
    </w:rPr>
  </w:style>
  <w:style w:type="character" w:customStyle="1" w:styleId="af0">
    <w:name w:val="Тема примечания Знак"/>
    <w:link w:val="af"/>
    <w:rsid w:val="00F863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5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283A"/>
    <w:rPr>
      <w:color w:val="0000FF"/>
      <w:u w:val="single"/>
    </w:rPr>
  </w:style>
  <w:style w:type="paragraph" w:styleId="a4">
    <w:name w:val="header"/>
    <w:basedOn w:val="a"/>
    <w:rsid w:val="00EE283A"/>
    <w:pPr>
      <w:tabs>
        <w:tab w:val="center" w:pos="4677"/>
        <w:tab w:val="right" w:pos="9355"/>
      </w:tabs>
    </w:pPr>
  </w:style>
  <w:style w:type="character" w:styleId="a5">
    <w:name w:val="page number"/>
    <w:basedOn w:val="a0"/>
    <w:rsid w:val="00D43B0E"/>
  </w:style>
  <w:style w:type="paragraph" w:styleId="a6">
    <w:name w:val="footer"/>
    <w:basedOn w:val="a"/>
    <w:rsid w:val="00D43B0E"/>
    <w:pPr>
      <w:tabs>
        <w:tab w:val="center" w:pos="4677"/>
        <w:tab w:val="right" w:pos="9355"/>
      </w:tabs>
    </w:pPr>
  </w:style>
  <w:style w:type="paragraph" w:styleId="a7">
    <w:name w:val="Balloon Text"/>
    <w:basedOn w:val="a"/>
    <w:semiHidden/>
    <w:rsid w:val="00D43B0E"/>
    <w:rPr>
      <w:rFonts w:ascii="Tahoma" w:hAnsi="Tahoma" w:cs="Tahoma"/>
      <w:sz w:val="16"/>
      <w:szCs w:val="16"/>
    </w:rPr>
  </w:style>
  <w:style w:type="paragraph" w:styleId="a8">
    <w:name w:val="Plain Text"/>
    <w:basedOn w:val="a"/>
    <w:link w:val="a9"/>
    <w:rsid w:val="008D1B34"/>
    <w:rPr>
      <w:rFonts w:ascii="Courier New" w:hAnsi="Courier New"/>
      <w:sz w:val="20"/>
      <w:szCs w:val="20"/>
    </w:rPr>
  </w:style>
  <w:style w:type="character" w:customStyle="1" w:styleId="a9">
    <w:name w:val="Текст Знак"/>
    <w:link w:val="a8"/>
    <w:rsid w:val="008D1B34"/>
    <w:rPr>
      <w:rFonts w:ascii="Courier New" w:hAnsi="Courier New"/>
      <w:lang w:val="ru-RU" w:eastAsia="ru-RU" w:bidi="ar-SA"/>
    </w:rPr>
  </w:style>
  <w:style w:type="table" w:styleId="aa">
    <w:name w:val="Table Grid"/>
    <w:basedOn w:val="a1"/>
    <w:rsid w:val="0006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676E93"/>
    <w:rPr>
      <w:b/>
      <w:bCs/>
    </w:rPr>
  </w:style>
  <w:style w:type="character" w:customStyle="1" w:styleId="apple-converted-space">
    <w:name w:val="apple-converted-space"/>
    <w:basedOn w:val="a0"/>
    <w:rsid w:val="00676E93"/>
  </w:style>
  <w:style w:type="paragraph" w:customStyle="1" w:styleId="Default">
    <w:name w:val="Default"/>
    <w:rsid w:val="00DC619D"/>
    <w:pPr>
      <w:autoSpaceDE w:val="0"/>
      <w:autoSpaceDN w:val="0"/>
      <w:adjustRightInd w:val="0"/>
    </w:pPr>
    <w:rPr>
      <w:rFonts w:ascii="Courier New" w:hAnsi="Courier New" w:cs="Courier New"/>
      <w:color w:val="000000"/>
      <w:sz w:val="24"/>
      <w:szCs w:val="24"/>
    </w:rPr>
  </w:style>
  <w:style w:type="character" w:styleId="ac">
    <w:name w:val="annotation reference"/>
    <w:rsid w:val="00F863A9"/>
    <w:rPr>
      <w:sz w:val="16"/>
      <w:szCs w:val="16"/>
    </w:rPr>
  </w:style>
  <w:style w:type="paragraph" w:styleId="ad">
    <w:name w:val="annotation text"/>
    <w:basedOn w:val="a"/>
    <w:link w:val="ae"/>
    <w:rsid w:val="00F863A9"/>
    <w:rPr>
      <w:sz w:val="20"/>
      <w:szCs w:val="20"/>
    </w:rPr>
  </w:style>
  <w:style w:type="character" w:customStyle="1" w:styleId="ae">
    <w:name w:val="Текст примечания Знак"/>
    <w:basedOn w:val="a0"/>
    <w:link w:val="ad"/>
    <w:rsid w:val="00F863A9"/>
  </w:style>
  <w:style w:type="paragraph" w:styleId="af">
    <w:name w:val="annotation subject"/>
    <w:basedOn w:val="ad"/>
    <w:next w:val="ad"/>
    <w:link w:val="af0"/>
    <w:rsid w:val="00F863A9"/>
    <w:rPr>
      <w:b/>
      <w:bCs/>
    </w:rPr>
  </w:style>
  <w:style w:type="character" w:customStyle="1" w:styleId="af0">
    <w:name w:val="Тема примечания Знак"/>
    <w:link w:val="af"/>
    <w:rsid w:val="00F86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655">
      <w:bodyDiv w:val="1"/>
      <w:marLeft w:val="0"/>
      <w:marRight w:val="0"/>
      <w:marTop w:val="0"/>
      <w:marBottom w:val="0"/>
      <w:divBdr>
        <w:top w:val="none" w:sz="0" w:space="0" w:color="auto"/>
        <w:left w:val="none" w:sz="0" w:space="0" w:color="auto"/>
        <w:bottom w:val="none" w:sz="0" w:space="0" w:color="auto"/>
        <w:right w:val="none" w:sz="0" w:space="0" w:color="auto"/>
      </w:divBdr>
    </w:div>
    <w:div w:id="47995499">
      <w:bodyDiv w:val="1"/>
      <w:marLeft w:val="0"/>
      <w:marRight w:val="0"/>
      <w:marTop w:val="0"/>
      <w:marBottom w:val="0"/>
      <w:divBdr>
        <w:top w:val="none" w:sz="0" w:space="0" w:color="auto"/>
        <w:left w:val="none" w:sz="0" w:space="0" w:color="auto"/>
        <w:bottom w:val="none" w:sz="0" w:space="0" w:color="auto"/>
        <w:right w:val="none" w:sz="0" w:space="0" w:color="auto"/>
      </w:divBdr>
    </w:div>
    <w:div w:id="138035084">
      <w:bodyDiv w:val="1"/>
      <w:marLeft w:val="0"/>
      <w:marRight w:val="0"/>
      <w:marTop w:val="0"/>
      <w:marBottom w:val="0"/>
      <w:divBdr>
        <w:top w:val="none" w:sz="0" w:space="0" w:color="auto"/>
        <w:left w:val="none" w:sz="0" w:space="0" w:color="auto"/>
        <w:bottom w:val="none" w:sz="0" w:space="0" w:color="auto"/>
        <w:right w:val="none" w:sz="0" w:space="0" w:color="auto"/>
      </w:divBdr>
    </w:div>
    <w:div w:id="159271318">
      <w:bodyDiv w:val="1"/>
      <w:marLeft w:val="0"/>
      <w:marRight w:val="0"/>
      <w:marTop w:val="0"/>
      <w:marBottom w:val="0"/>
      <w:divBdr>
        <w:top w:val="none" w:sz="0" w:space="0" w:color="auto"/>
        <w:left w:val="none" w:sz="0" w:space="0" w:color="auto"/>
        <w:bottom w:val="none" w:sz="0" w:space="0" w:color="auto"/>
        <w:right w:val="none" w:sz="0" w:space="0" w:color="auto"/>
      </w:divBdr>
    </w:div>
    <w:div w:id="216402465">
      <w:bodyDiv w:val="1"/>
      <w:marLeft w:val="0"/>
      <w:marRight w:val="0"/>
      <w:marTop w:val="0"/>
      <w:marBottom w:val="0"/>
      <w:divBdr>
        <w:top w:val="none" w:sz="0" w:space="0" w:color="auto"/>
        <w:left w:val="none" w:sz="0" w:space="0" w:color="auto"/>
        <w:bottom w:val="none" w:sz="0" w:space="0" w:color="auto"/>
        <w:right w:val="none" w:sz="0" w:space="0" w:color="auto"/>
      </w:divBdr>
    </w:div>
    <w:div w:id="228881646">
      <w:bodyDiv w:val="1"/>
      <w:marLeft w:val="0"/>
      <w:marRight w:val="0"/>
      <w:marTop w:val="0"/>
      <w:marBottom w:val="0"/>
      <w:divBdr>
        <w:top w:val="none" w:sz="0" w:space="0" w:color="auto"/>
        <w:left w:val="none" w:sz="0" w:space="0" w:color="auto"/>
        <w:bottom w:val="none" w:sz="0" w:space="0" w:color="auto"/>
        <w:right w:val="none" w:sz="0" w:space="0" w:color="auto"/>
      </w:divBdr>
    </w:div>
    <w:div w:id="259609171">
      <w:bodyDiv w:val="1"/>
      <w:marLeft w:val="0"/>
      <w:marRight w:val="0"/>
      <w:marTop w:val="0"/>
      <w:marBottom w:val="0"/>
      <w:divBdr>
        <w:top w:val="none" w:sz="0" w:space="0" w:color="auto"/>
        <w:left w:val="none" w:sz="0" w:space="0" w:color="auto"/>
        <w:bottom w:val="none" w:sz="0" w:space="0" w:color="auto"/>
        <w:right w:val="none" w:sz="0" w:space="0" w:color="auto"/>
      </w:divBdr>
    </w:div>
    <w:div w:id="294719621">
      <w:bodyDiv w:val="1"/>
      <w:marLeft w:val="0"/>
      <w:marRight w:val="0"/>
      <w:marTop w:val="0"/>
      <w:marBottom w:val="0"/>
      <w:divBdr>
        <w:top w:val="none" w:sz="0" w:space="0" w:color="auto"/>
        <w:left w:val="none" w:sz="0" w:space="0" w:color="auto"/>
        <w:bottom w:val="none" w:sz="0" w:space="0" w:color="auto"/>
        <w:right w:val="none" w:sz="0" w:space="0" w:color="auto"/>
      </w:divBdr>
    </w:div>
    <w:div w:id="321393696">
      <w:bodyDiv w:val="1"/>
      <w:marLeft w:val="0"/>
      <w:marRight w:val="0"/>
      <w:marTop w:val="0"/>
      <w:marBottom w:val="0"/>
      <w:divBdr>
        <w:top w:val="none" w:sz="0" w:space="0" w:color="auto"/>
        <w:left w:val="none" w:sz="0" w:space="0" w:color="auto"/>
        <w:bottom w:val="none" w:sz="0" w:space="0" w:color="auto"/>
        <w:right w:val="none" w:sz="0" w:space="0" w:color="auto"/>
      </w:divBdr>
    </w:div>
    <w:div w:id="349181762">
      <w:bodyDiv w:val="1"/>
      <w:marLeft w:val="0"/>
      <w:marRight w:val="0"/>
      <w:marTop w:val="0"/>
      <w:marBottom w:val="0"/>
      <w:divBdr>
        <w:top w:val="none" w:sz="0" w:space="0" w:color="auto"/>
        <w:left w:val="none" w:sz="0" w:space="0" w:color="auto"/>
        <w:bottom w:val="none" w:sz="0" w:space="0" w:color="auto"/>
        <w:right w:val="none" w:sz="0" w:space="0" w:color="auto"/>
      </w:divBdr>
    </w:div>
    <w:div w:id="355695309">
      <w:bodyDiv w:val="1"/>
      <w:marLeft w:val="0"/>
      <w:marRight w:val="0"/>
      <w:marTop w:val="0"/>
      <w:marBottom w:val="0"/>
      <w:divBdr>
        <w:top w:val="none" w:sz="0" w:space="0" w:color="auto"/>
        <w:left w:val="none" w:sz="0" w:space="0" w:color="auto"/>
        <w:bottom w:val="none" w:sz="0" w:space="0" w:color="auto"/>
        <w:right w:val="none" w:sz="0" w:space="0" w:color="auto"/>
      </w:divBdr>
    </w:div>
    <w:div w:id="434402398">
      <w:bodyDiv w:val="1"/>
      <w:marLeft w:val="0"/>
      <w:marRight w:val="0"/>
      <w:marTop w:val="0"/>
      <w:marBottom w:val="0"/>
      <w:divBdr>
        <w:top w:val="none" w:sz="0" w:space="0" w:color="auto"/>
        <w:left w:val="none" w:sz="0" w:space="0" w:color="auto"/>
        <w:bottom w:val="none" w:sz="0" w:space="0" w:color="auto"/>
        <w:right w:val="none" w:sz="0" w:space="0" w:color="auto"/>
      </w:divBdr>
    </w:div>
    <w:div w:id="435296069">
      <w:bodyDiv w:val="1"/>
      <w:marLeft w:val="0"/>
      <w:marRight w:val="0"/>
      <w:marTop w:val="0"/>
      <w:marBottom w:val="0"/>
      <w:divBdr>
        <w:top w:val="none" w:sz="0" w:space="0" w:color="auto"/>
        <w:left w:val="none" w:sz="0" w:space="0" w:color="auto"/>
        <w:bottom w:val="none" w:sz="0" w:space="0" w:color="auto"/>
        <w:right w:val="none" w:sz="0" w:space="0" w:color="auto"/>
      </w:divBdr>
    </w:div>
    <w:div w:id="437068971">
      <w:bodyDiv w:val="1"/>
      <w:marLeft w:val="0"/>
      <w:marRight w:val="0"/>
      <w:marTop w:val="0"/>
      <w:marBottom w:val="0"/>
      <w:divBdr>
        <w:top w:val="none" w:sz="0" w:space="0" w:color="auto"/>
        <w:left w:val="none" w:sz="0" w:space="0" w:color="auto"/>
        <w:bottom w:val="none" w:sz="0" w:space="0" w:color="auto"/>
        <w:right w:val="none" w:sz="0" w:space="0" w:color="auto"/>
      </w:divBdr>
    </w:div>
    <w:div w:id="508370113">
      <w:bodyDiv w:val="1"/>
      <w:marLeft w:val="0"/>
      <w:marRight w:val="0"/>
      <w:marTop w:val="0"/>
      <w:marBottom w:val="0"/>
      <w:divBdr>
        <w:top w:val="none" w:sz="0" w:space="0" w:color="auto"/>
        <w:left w:val="none" w:sz="0" w:space="0" w:color="auto"/>
        <w:bottom w:val="none" w:sz="0" w:space="0" w:color="auto"/>
        <w:right w:val="none" w:sz="0" w:space="0" w:color="auto"/>
      </w:divBdr>
    </w:div>
    <w:div w:id="519701192">
      <w:bodyDiv w:val="1"/>
      <w:marLeft w:val="0"/>
      <w:marRight w:val="0"/>
      <w:marTop w:val="0"/>
      <w:marBottom w:val="0"/>
      <w:divBdr>
        <w:top w:val="none" w:sz="0" w:space="0" w:color="auto"/>
        <w:left w:val="none" w:sz="0" w:space="0" w:color="auto"/>
        <w:bottom w:val="none" w:sz="0" w:space="0" w:color="auto"/>
        <w:right w:val="none" w:sz="0" w:space="0" w:color="auto"/>
      </w:divBdr>
    </w:div>
    <w:div w:id="544878595">
      <w:bodyDiv w:val="1"/>
      <w:marLeft w:val="0"/>
      <w:marRight w:val="0"/>
      <w:marTop w:val="0"/>
      <w:marBottom w:val="0"/>
      <w:divBdr>
        <w:top w:val="none" w:sz="0" w:space="0" w:color="auto"/>
        <w:left w:val="none" w:sz="0" w:space="0" w:color="auto"/>
        <w:bottom w:val="none" w:sz="0" w:space="0" w:color="auto"/>
        <w:right w:val="none" w:sz="0" w:space="0" w:color="auto"/>
      </w:divBdr>
    </w:div>
    <w:div w:id="556162236">
      <w:bodyDiv w:val="1"/>
      <w:marLeft w:val="0"/>
      <w:marRight w:val="0"/>
      <w:marTop w:val="0"/>
      <w:marBottom w:val="0"/>
      <w:divBdr>
        <w:top w:val="none" w:sz="0" w:space="0" w:color="auto"/>
        <w:left w:val="none" w:sz="0" w:space="0" w:color="auto"/>
        <w:bottom w:val="none" w:sz="0" w:space="0" w:color="auto"/>
        <w:right w:val="none" w:sz="0" w:space="0" w:color="auto"/>
      </w:divBdr>
    </w:div>
    <w:div w:id="574820879">
      <w:bodyDiv w:val="1"/>
      <w:marLeft w:val="0"/>
      <w:marRight w:val="0"/>
      <w:marTop w:val="0"/>
      <w:marBottom w:val="0"/>
      <w:divBdr>
        <w:top w:val="none" w:sz="0" w:space="0" w:color="auto"/>
        <w:left w:val="none" w:sz="0" w:space="0" w:color="auto"/>
        <w:bottom w:val="none" w:sz="0" w:space="0" w:color="auto"/>
        <w:right w:val="none" w:sz="0" w:space="0" w:color="auto"/>
      </w:divBdr>
    </w:div>
    <w:div w:id="582642558">
      <w:bodyDiv w:val="1"/>
      <w:marLeft w:val="0"/>
      <w:marRight w:val="0"/>
      <w:marTop w:val="0"/>
      <w:marBottom w:val="0"/>
      <w:divBdr>
        <w:top w:val="none" w:sz="0" w:space="0" w:color="auto"/>
        <w:left w:val="none" w:sz="0" w:space="0" w:color="auto"/>
        <w:bottom w:val="none" w:sz="0" w:space="0" w:color="auto"/>
        <w:right w:val="none" w:sz="0" w:space="0" w:color="auto"/>
      </w:divBdr>
    </w:div>
    <w:div w:id="616330333">
      <w:bodyDiv w:val="1"/>
      <w:marLeft w:val="0"/>
      <w:marRight w:val="0"/>
      <w:marTop w:val="0"/>
      <w:marBottom w:val="0"/>
      <w:divBdr>
        <w:top w:val="none" w:sz="0" w:space="0" w:color="auto"/>
        <w:left w:val="none" w:sz="0" w:space="0" w:color="auto"/>
        <w:bottom w:val="none" w:sz="0" w:space="0" w:color="auto"/>
        <w:right w:val="none" w:sz="0" w:space="0" w:color="auto"/>
      </w:divBdr>
    </w:div>
    <w:div w:id="657422945">
      <w:bodyDiv w:val="1"/>
      <w:marLeft w:val="0"/>
      <w:marRight w:val="0"/>
      <w:marTop w:val="0"/>
      <w:marBottom w:val="0"/>
      <w:divBdr>
        <w:top w:val="none" w:sz="0" w:space="0" w:color="auto"/>
        <w:left w:val="none" w:sz="0" w:space="0" w:color="auto"/>
        <w:bottom w:val="none" w:sz="0" w:space="0" w:color="auto"/>
        <w:right w:val="none" w:sz="0" w:space="0" w:color="auto"/>
      </w:divBdr>
    </w:div>
    <w:div w:id="696541805">
      <w:bodyDiv w:val="1"/>
      <w:marLeft w:val="0"/>
      <w:marRight w:val="0"/>
      <w:marTop w:val="0"/>
      <w:marBottom w:val="0"/>
      <w:divBdr>
        <w:top w:val="none" w:sz="0" w:space="0" w:color="auto"/>
        <w:left w:val="none" w:sz="0" w:space="0" w:color="auto"/>
        <w:bottom w:val="none" w:sz="0" w:space="0" w:color="auto"/>
        <w:right w:val="none" w:sz="0" w:space="0" w:color="auto"/>
      </w:divBdr>
    </w:div>
    <w:div w:id="726729346">
      <w:bodyDiv w:val="1"/>
      <w:marLeft w:val="0"/>
      <w:marRight w:val="0"/>
      <w:marTop w:val="0"/>
      <w:marBottom w:val="0"/>
      <w:divBdr>
        <w:top w:val="none" w:sz="0" w:space="0" w:color="auto"/>
        <w:left w:val="none" w:sz="0" w:space="0" w:color="auto"/>
        <w:bottom w:val="none" w:sz="0" w:space="0" w:color="auto"/>
        <w:right w:val="none" w:sz="0" w:space="0" w:color="auto"/>
      </w:divBdr>
    </w:div>
    <w:div w:id="796796937">
      <w:bodyDiv w:val="1"/>
      <w:marLeft w:val="0"/>
      <w:marRight w:val="0"/>
      <w:marTop w:val="0"/>
      <w:marBottom w:val="0"/>
      <w:divBdr>
        <w:top w:val="none" w:sz="0" w:space="0" w:color="auto"/>
        <w:left w:val="none" w:sz="0" w:space="0" w:color="auto"/>
        <w:bottom w:val="none" w:sz="0" w:space="0" w:color="auto"/>
        <w:right w:val="none" w:sz="0" w:space="0" w:color="auto"/>
      </w:divBdr>
    </w:div>
    <w:div w:id="817040603">
      <w:bodyDiv w:val="1"/>
      <w:marLeft w:val="0"/>
      <w:marRight w:val="0"/>
      <w:marTop w:val="0"/>
      <w:marBottom w:val="0"/>
      <w:divBdr>
        <w:top w:val="none" w:sz="0" w:space="0" w:color="auto"/>
        <w:left w:val="none" w:sz="0" w:space="0" w:color="auto"/>
        <w:bottom w:val="none" w:sz="0" w:space="0" w:color="auto"/>
        <w:right w:val="none" w:sz="0" w:space="0" w:color="auto"/>
      </w:divBdr>
    </w:div>
    <w:div w:id="828517779">
      <w:bodyDiv w:val="1"/>
      <w:marLeft w:val="0"/>
      <w:marRight w:val="0"/>
      <w:marTop w:val="0"/>
      <w:marBottom w:val="0"/>
      <w:divBdr>
        <w:top w:val="none" w:sz="0" w:space="0" w:color="auto"/>
        <w:left w:val="none" w:sz="0" w:space="0" w:color="auto"/>
        <w:bottom w:val="none" w:sz="0" w:space="0" w:color="auto"/>
        <w:right w:val="none" w:sz="0" w:space="0" w:color="auto"/>
      </w:divBdr>
    </w:div>
    <w:div w:id="834297815">
      <w:bodyDiv w:val="1"/>
      <w:marLeft w:val="0"/>
      <w:marRight w:val="0"/>
      <w:marTop w:val="0"/>
      <w:marBottom w:val="0"/>
      <w:divBdr>
        <w:top w:val="none" w:sz="0" w:space="0" w:color="auto"/>
        <w:left w:val="none" w:sz="0" w:space="0" w:color="auto"/>
        <w:bottom w:val="none" w:sz="0" w:space="0" w:color="auto"/>
        <w:right w:val="none" w:sz="0" w:space="0" w:color="auto"/>
      </w:divBdr>
    </w:div>
    <w:div w:id="868883062">
      <w:bodyDiv w:val="1"/>
      <w:marLeft w:val="0"/>
      <w:marRight w:val="0"/>
      <w:marTop w:val="0"/>
      <w:marBottom w:val="0"/>
      <w:divBdr>
        <w:top w:val="none" w:sz="0" w:space="0" w:color="auto"/>
        <w:left w:val="none" w:sz="0" w:space="0" w:color="auto"/>
        <w:bottom w:val="none" w:sz="0" w:space="0" w:color="auto"/>
        <w:right w:val="none" w:sz="0" w:space="0" w:color="auto"/>
      </w:divBdr>
    </w:div>
    <w:div w:id="963655320">
      <w:bodyDiv w:val="1"/>
      <w:marLeft w:val="0"/>
      <w:marRight w:val="0"/>
      <w:marTop w:val="0"/>
      <w:marBottom w:val="0"/>
      <w:divBdr>
        <w:top w:val="none" w:sz="0" w:space="0" w:color="auto"/>
        <w:left w:val="none" w:sz="0" w:space="0" w:color="auto"/>
        <w:bottom w:val="none" w:sz="0" w:space="0" w:color="auto"/>
        <w:right w:val="none" w:sz="0" w:space="0" w:color="auto"/>
      </w:divBdr>
    </w:div>
    <w:div w:id="1041515261">
      <w:bodyDiv w:val="1"/>
      <w:marLeft w:val="0"/>
      <w:marRight w:val="0"/>
      <w:marTop w:val="0"/>
      <w:marBottom w:val="0"/>
      <w:divBdr>
        <w:top w:val="none" w:sz="0" w:space="0" w:color="auto"/>
        <w:left w:val="none" w:sz="0" w:space="0" w:color="auto"/>
        <w:bottom w:val="none" w:sz="0" w:space="0" w:color="auto"/>
        <w:right w:val="none" w:sz="0" w:space="0" w:color="auto"/>
      </w:divBdr>
    </w:div>
    <w:div w:id="1143086166">
      <w:bodyDiv w:val="1"/>
      <w:marLeft w:val="0"/>
      <w:marRight w:val="0"/>
      <w:marTop w:val="0"/>
      <w:marBottom w:val="0"/>
      <w:divBdr>
        <w:top w:val="none" w:sz="0" w:space="0" w:color="auto"/>
        <w:left w:val="none" w:sz="0" w:space="0" w:color="auto"/>
        <w:bottom w:val="none" w:sz="0" w:space="0" w:color="auto"/>
        <w:right w:val="none" w:sz="0" w:space="0" w:color="auto"/>
      </w:divBdr>
    </w:div>
    <w:div w:id="1163549061">
      <w:bodyDiv w:val="1"/>
      <w:marLeft w:val="0"/>
      <w:marRight w:val="0"/>
      <w:marTop w:val="0"/>
      <w:marBottom w:val="0"/>
      <w:divBdr>
        <w:top w:val="none" w:sz="0" w:space="0" w:color="auto"/>
        <w:left w:val="none" w:sz="0" w:space="0" w:color="auto"/>
        <w:bottom w:val="none" w:sz="0" w:space="0" w:color="auto"/>
        <w:right w:val="none" w:sz="0" w:space="0" w:color="auto"/>
      </w:divBdr>
    </w:div>
    <w:div w:id="1169177442">
      <w:bodyDiv w:val="1"/>
      <w:marLeft w:val="0"/>
      <w:marRight w:val="0"/>
      <w:marTop w:val="0"/>
      <w:marBottom w:val="0"/>
      <w:divBdr>
        <w:top w:val="none" w:sz="0" w:space="0" w:color="auto"/>
        <w:left w:val="none" w:sz="0" w:space="0" w:color="auto"/>
        <w:bottom w:val="none" w:sz="0" w:space="0" w:color="auto"/>
        <w:right w:val="none" w:sz="0" w:space="0" w:color="auto"/>
      </w:divBdr>
    </w:div>
    <w:div w:id="1293057681">
      <w:bodyDiv w:val="1"/>
      <w:marLeft w:val="0"/>
      <w:marRight w:val="0"/>
      <w:marTop w:val="0"/>
      <w:marBottom w:val="0"/>
      <w:divBdr>
        <w:top w:val="none" w:sz="0" w:space="0" w:color="auto"/>
        <w:left w:val="none" w:sz="0" w:space="0" w:color="auto"/>
        <w:bottom w:val="none" w:sz="0" w:space="0" w:color="auto"/>
        <w:right w:val="none" w:sz="0" w:space="0" w:color="auto"/>
      </w:divBdr>
    </w:div>
    <w:div w:id="1312294491">
      <w:bodyDiv w:val="1"/>
      <w:marLeft w:val="0"/>
      <w:marRight w:val="0"/>
      <w:marTop w:val="0"/>
      <w:marBottom w:val="0"/>
      <w:divBdr>
        <w:top w:val="none" w:sz="0" w:space="0" w:color="auto"/>
        <w:left w:val="none" w:sz="0" w:space="0" w:color="auto"/>
        <w:bottom w:val="none" w:sz="0" w:space="0" w:color="auto"/>
        <w:right w:val="none" w:sz="0" w:space="0" w:color="auto"/>
      </w:divBdr>
    </w:div>
    <w:div w:id="1327250971">
      <w:bodyDiv w:val="1"/>
      <w:marLeft w:val="0"/>
      <w:marRight w:val="0"/>
      <w:marTop w:val="0"/>
      <w:marBottom w:val="0"/>
      <w:divBdr>
        <w:top w:val="none" w:sz="0" w:space="0" w:color="auto"/>
        <w:left w:val="none" w:sz="0" w:space="0" w:color="auto"/>
        <w:bottom w:val="none" w:sz="0" w:space="0" w:color="auto"/>
        <w:right w:val="none" w:sz="0" w:space="0" w:color="auto"/>
      </w:divBdr>
    </w:div>
    <w:div w:id="1378385885">
      <w:bodyDiv w:val="1"/>
      <w:marLeft w:val="0"/>
      <w:marRight w:val="0"/>
      <w:marTop w:val="0"/>
      <w:marBottom w:val="0"/>
      <w:divBdr>
        <w:top w:val="none" w:sz="0" w:space="0" w:color="auto"/>
        <w:left w:val="none" w:sz="0" w:space="0" w:color="auto"/>
        <w:bottom w:val="none" w:sz="0" w:space="0" w:color="auto"/>
        <w:right w:val="none" w:sz="0" w:space="0" w:color="auto"/>
      </w:divBdr>
    </w:div>
    <w:div w:id="1396970548">
      <w:bodyDiv w:val="1"/>
      <w:marLeft w:val="0"/>
      <w:marRight w:val="0"/>
      <w:marTop w:val="0"/>
      <w:marBottom w:val="0"/>
      <w:divBdr>
        <w:top w:val="none" w:sz="0" w:space="0" w:color="auto"/>
        <w:left w:val="none" w:sz="0" w:space="0" w:color="auto"/>
        <w:bottom w:val="none" w:sz="0" w:space="0" w:color="auto"/>
        <w:right w:val="none" w:sz="0" w:space="0" w:color="auto"/>
      </w:divBdr>
    </w:div>
    <w:div w:id="1400709102">
      <w:bodyDiv w:val="1"/>
      <w:marLeft w:val="0"/>
      <w:marRight w:val="0"/>
      <w:marTop w:val="0"/>
      <w:marBottom w:val="0"/>
      <w:divBdr>
        <w:top w:val="none" w:sz="0" w:space="0" w:color="auto"/>
        <w:left w:val="none" w:sz="0" w:space="0" w:color="auto"/>
        <w:bottom w:val="none" w:sz="0" w:space="0" w:color="auto"/>
        <w:right w:val="none" w:sz="0" w:space="0" w:color="auto"/>
      </w:divBdr>
    </w:div>
    <w:div w:id="1408041417">
      <w:bodyDiv w:val="1"/>
      <w:marLeft w:val="0"/>
      <w:marRight w:val="0"/>
      <w:marTop w:val="0"/>
      <w:marBottom w:val="0"/>
      <w:divBdr>
        <w:top w:val="none" w:sz="0" w:space="0" w:color="auto"/>
        <w:left w:val="none" w:sz="0" w:space="0" w:color="auto"/>
        <w:bottom w:val="none" w:sz="0" w:space="0" w:color="auto"/>
        <w:right w:val="none" w:sz="0" w:space="0" w:color="auto"/>
      </w:divBdr>
    </w:div>
    <w:div w:id="1410545515">
      <w:bodyDiv w:val="1"/>
      <w:marLeft w:val="0"/>
      <w:marRight w:val="0"/>
      <w:marTop w:val="0"/>
      <w:marBottom w:val="0"/>
      <w:divBdr>
        <w:top w:val="none" w:sz="0" w:space="0" w:color="auto"/>
        <w:left w:val="none" w:sz="0" w:space="0" w:color="auto"/>
        <w:bottom w:val="none" w:sz="0" w:space="0" w:color="auto"/>
        <w:right w:val="none" w:sz="0" w:space="0" w:color="auto"/>
      </w:divBdr>
    </w:div>
    <w:div w:id="1448887726">
      <w:bodyDiv w:val="1"/>
      <w:marLeft w:val="0"/>
      <w:marRight w:val="0"/>
      <w:marTop w:val="0"/>
      <w:marBottom w:val="0"/>
      <w:divBdr>
        <w:top w:val="none" w:sz="0" w:space="0" w:color="auto"/>
        <w:left w:val="none" w:sz="0" w:space="0" w:color="auto"/>
        <w:bottom w:val="none" w:sz="0" w:space="0" w:color="auto"/>
        <w:right w:val="none" w:sz="0" w:space="0" w:color="auto"/>
      </w:divBdr>
    </w:div>
    <w:div w:id="1499928036">
      <w:bodyDiv w:val="1"/>
      <w:marLeft w:val="0"/>
      <w:marRight w:val="0"/>
      <w:marTop w:val="0"/>
      <w:marBottom w:val="0"/>
      <w:divBdr>
        <w:top w:val="none" w:sz="0" w:space="0" w:color="auto"/>
        <w:left w:val="none" w:sz="0" w:space="0" w:color="auto"/>
        <w:bottom w:val="none" w:sz="0" w:space="0" w:color="auto"/>
        <w:right w:val="none" w:sz="0" w:space="0" w:color="auto"/>
      </w:divBdr>
    </w:div>
    <w:div w:id="1550459139">
      <w:bodyDiv w:val="1"/>
      <w:marLeft w:val="0"/>
      <w:marRight w:val="0"/>
      <w:marTop w:val="0"/>
      <w:marBottom w:val="0"/>
      <w:divBdr>
        <w:top w:val="none" w:sz="0" w:space="0" w:color="auto"/>
        <w:left w:val="none" w:sz="0" w:space="0" w:color="auto"/>
        <w:bottom w:val="none" w:sz="0" w:space="0" w:color="auto"/>
        <w:right w:val="none" w:sz="0" w:space="0" w:color="auto"/>
      </w:divBdr>
    </w:div>
    <w:div w:id="1606496437">
      <w:bodyDiv w:val="1"/>
      <w:marLeft w:val="0"/>
      <w:marRight w:val="0"/>
      <w:marTop w:val="0"/>
      <w:marBottom w:val="0"/>
      <w:divBdr>
        <w:top w:val="none" w:sz="0" w:space="0" w:color="auto"/>
        <w:left w:val="none" w:sz="0" w:space="0" w:color="auto"/>
        <w:bottom w:val="none" w:sz="0" w:space="0" w:color="auto"/>
        <w:right w:val="none" w:sz="0" w:space="0" w:color="auto"/>
      </w:divBdr>
    </w:div>
    <w:div w:id="1653220518">
      <w:bodyDiv w:val="1"/>
      <w:marLeft w:val="0"/>
      <w:marRight w:val="0"/>
      <w:marTop w:val="0"/>
      <w:marBottom w:val="0"/>
      <w:divBdr>
        <w:top w:val="none" w:sz="0" w:space="0" w:color="auto"/>
        <w:left w:val="none" w:sz="0" w:space="0" w:color="auto"/>
        <w:bottom w:val="none" w:sz="0" w:space="0" w:color="auto"/>
        <w:right w:val="none" w:sz="0" w:space="0" w:color="auto"/>
      </w:divBdr>
    </w:div>
    <w:div w:id="1688408443">
      <w:bodyDiv w:val="1"/>
      <w:marLeft w:val="0"/>
      <w:marRight w:val="0"/>
      <w:marTop w:val="0"/>
      <w:marBottom w:val="0"/>
      <w:divBdr>
        <w:top w:val="none" w:sz="0" w:space="0" w:color="auto"/>
        <w:left w:val="none" w:sz="0" w:space="0" w:color="auto"/>
        <w:bottom w:val="none" w:sz="0" w:space="0" w:color="auto"/>
        <w:right w:val="none" w:sz="0" w:space="0" w:color="auto"/>
      </w:divBdr>
    </w:div>
    <w:div w:id="1710691012">
      <w:bodyDiv w:val="1"/>
      <w:marLeft w:val="0"/>
      <w:marRight w:val="0"/>
      <w:marTop w:val="0"/>
      <w:marBottom w:val="0"/>
      <w:divBdr>
        <w:top w:val="none" w:sz="0" w:space="0" w:color="auto"/>
        <w:left w:val="none" w:sz="0" w:space="0" w:color="auto"/>
        <w:bottom w:val="none" w:sz="0" w:space="0" w:color="auto"/>
        <w:right w:val="none" w:sz="0" w:space="0" w:color="auto"/>
      </w:divBdr>
      <w:divsChild>
        <w:div w:id="922955098">
          <w:marLeft w:val="0"/>
          <w:marRight w:val="0"/>
          <w:marTop w:val="0"/>
          <w:marBottom w:val="0"/>
          <w:divBdr>
            <w:top w:val="none" w:sz="0" w:space="0" w:color="auto"/>
            <w:left w:val="none" w:sz="0" w:space="0" w:color="auto"/>
            <w:bottom w:val="none" w:sz="0" w:space="0" w:color="auto"/>
            <w:right w:val="none" w:sz="0" w:space="0" w:color="auto"/>
          </w:divBdr>
        </w:div>
      </w:divsChild>
    </w:div>
    <w:div w:id="1712916964">
      <w:bodyDiv w:val="1"/>
      <w:marLeft w:val="0"/>
      <w:marRight w:val="0"/>
      <w:marTop w:val="0"/>
      <w:marBottom w:val="0"/>
      <w:divBdr>
        <w:top w:val="none" w:sz="0" w:space="0" w:color="auto"/>
        <w:left w:val="none" w:sz="0" w:space="0" w:color="auto"/>
        <w:bottom w:val="none" w:sz="0" w:space="0" w:color="auto"/>
        <w:right w:val="none" w:sz="0" w:space="0" w:color="auto"/>
      </w:divBdr>
    </w:div>
    <w:div w:id="1746030032">
      <w:bodyDiv w:val="1"/>
      <w:marLeft w:val="0"/>
      <w:marRight w:val="0"/>
      <w:marTop w:val="0"/>
      <w:marBottom w:val="0"/>
      <w:divBdr>
        <w:top w:val="none" w:sz="0" w:space="0" w:color="auto"/>
        <w:left w:val="none" w:sz="0" w:space="0" w:color="auto"/>
        <w:bottom w:val="none" w:sz="0" w:space="0" w:color="auto"/>
        <w:right w:val="none" w:sz="0" w:space="0" w:color="auto"/>
      </w:divBdr>
    </w:div>
    <w:div w:id="1793478956">
      <w:bodyDiv w:val="1"/>
      <w:marLeft w:val="0"/>
      <w:marRight w:val="0"/>
      <w:marTop w:val="0"/>
      <w:marBottom w:val="0"/>
      <w:divBdr>
        <w:top w:val="none" w:sz="0" w:space="0" w:color="auto"/>
        <w:left w:val="none" w:sz="0" w:space="0" w:color="auto"/>
        <w:bottom w:val="none" w:sz="0" w:space="0" w:color="auto"/>
        <w:right w:val="none" w:sz="0" w:space="0" w:color="auto"/>
      </w:divBdr>
    </w:div>
    <w:div w:id="1809200349">
      <w:bodyDiv w:val="1"/>
      <w:marLeft w:val="0"/>
      <w:marRight w:val="0"/>
      <w:marTop w:val="0"/>
      <w:marBottom w:val="0"/>
      <w:divBdr>
        <w:top w:val="none" w:sz="0" w:space="0" w:color="auto"/>
        <w:left w:val="none" w:sz="0" w:space="0" w:color="auto"/>
        <w:bottom w:val="none" w:sz="0" w:space="0" w:color="auto"/>
        <w:right w:val="none" w:sz="0" w:space="0" w:color="auto"/>
      </w:divBdr>
    </w:div>
    <w:div w:id="1836141074">
      <w:bodyDiv w:val="1"/>
      <w:marLeft w:val="0"/>
      <w:marRight w:val="0"/>
      <w:marTop w:val="0"/>
      <w:marBottom w:val="0"/>
      <w:divBdr>
        <w:top w:val="none" w:sz="0" w:space="0" w:color="auto"/>
        <w:left w:val="none" w:sz="0" w:space="0" w:color="auto"/>
        <w:bottom w:val="none" w:sz="0" w:space="0" w:color="auto"/>
        <w:right w:val="none" w:sz="0" w:space="0" w:color="auto"/>
      </w:divBdr>
    </w:div>
    <w:div w:id="1862620789">
      <w:bodyDiv w:val="1"/>
      <w:marLeft w:val="0"/>
      <w:marRight w:val="0"/>
      <w:marTop w:val="0"/>
      <w:marBottom w:val="0"/>
      <w:divBdr>
        <w:top w:val="none" w:sz="0" w:space="0" w:color="auto"/>
        <w:left w:val="none" w:sz="0" w:space="0" w:color="auto"/>
        <w:bottom w:val="none" w:sz="0" w:space="0" w:color="auto"/>
        <w:right w:val="none" w:sz="0" w:space="0" w:color="auto"/>
      </w:divBdr>
    </w:div>
    <w:div w:id="1881553453">
      <w:bodyDiv w:val="1"/>
      <w:marLeft w:val="0"/>
      <w:marRight w:val="0"/>
      <w:marTop w:val="0"/>
      <w:marBottom w:val="0"/>
      <w:divBdr>
        <w:top w:val="none" w:sz="0" w:space="0" w:color="auto"/>
        <w:left w:val="none" w:sz="0" w:space="0" w:color="auto"/>
        <w:bottom w:val="none" w:sz="0" w:space="0" w:color="auto"/>
        <w:right w:val="none" w:sz="0" w:space="0" w:color="auto"/>
      </w:divBdr>
    </w:div>
    <w:div w:id="1890069128">
      <w:bodyDiv w:val="1"/>
      <w:marLeft w:val="0"/>
      <w:marRight w:val="0"/>
      <w:marTop w:val="0"/>
      <w:marBottom w:val="0"/>
      <w:divBdr>
        <w:top w:val="none" w:sz="0" w:space="0" w:color="auto"/>
        <w:left w:val="none" w:sz="0" w:space="0" w:color="auto"/>
        <w:bottom w:val="none" w:sz="0" w:space="0" w:color="auto"/>
        <w:right w:val="none" w:sz="0" w:space="0" w:color="auto"/>
      </w:divBdr>
    </w:div>
    <w:div w:id="1965497555">
      <w:bodyDiv w:val="1"/>
      <w:marLeft w:val="0"/>
      <w:marRight w:val="0"/>
      <w:marTop w:val="0"/>
      <w:marBottom w:val="0"/>
      <w:divBdr>
        <w:top w:val="none" w:sz="0" w:space="0" w:color="auto"/>
        <w:left w:val="none" w:sz="0" w:space="0" w:color="auto"/>
        <w:bottom w:val="none" w:sz="0" w:space="0" w:color="auto"/>
        <w:right w:val="none" w:sz="0" w:space="0" w:color="auto"/>
      </w:divBdr>
    </w:div>
    <w:div w:id="2018263039">
      <w:bodyDiv w:val="1"/>
      <w:marLeft w:val="0"/>
      <w:marRight w:val="0"/>
      <w:marTop w:val="0"/>
      <w:marBottom w:val="0"/>
      <w:divBdr>
        <w:top w:val="none" w:sz="0" w:space="0" w:color="auto"/>
        <w:left w:val="none" w:sz="0" w:space="0" w:color="auto"/>
        <w:bottom w:val="none" w:sz="0" w:space="0" w:color="auto"/>
        <w:right w:val="none" w:sz="0" w:space="0" w:color="auto"/>
      </w:divBdr>
    </w:div>
    <w:div w:id="2044403428">
      <w:bodyDiv w:val="1"/>
      <w:marLeft w:val="0"/>
      <w:marRight w:val="0"/>
      <w:marTop w:val="0"/>
      <w:marBottom w:val="0"/>
      <w:divBdr>
        <w:top w:val="none" w:sz="0" w:space="0" w:color="auto"/>
        <w:left w:val="none" w:sz="0" w:space="0" w:color="auto"/>
        <w:bottom w:val="none" w:sz="0" w:space="0" w:color="auto"/>
        <w:right w:val="none" w:sz="0" w:space="0" w:color="auto"/>
      </w:divBdr>
    </w:div>
    <w:div w:id="2063945502">
      <w:bodyDiv w:val="1"/>
      <w:marLeft w:val="0"/>
      <w:marRight w:val="0"/>
      <w:marTop w:val="0"/>
      <w:marBottom w:val="0"/>
      <w:divBdr>
        <w:top w:val="none" w:sz="0" w:space="0" w:color="auto"/>
        <w:left w:val="none" w:sz="0" w:space="0" w:color="auto"/>
        <w:bottom w:val="none" w:sz="0" w:space="0" w:color="auto"/>
        <w:right w:val="none" w:sz="0" w:space="0" w:color="auto"/>
      </w:divBdr>
    </w:div>
    <w:div w:id="20721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A44C-F786-4E53-A488-EEB9CDF8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4</Pages>
  <Words>1560</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25</vt:lpstr>
    </vt:vector>
  </TitlesOfParts>
  <Company>SPecialiST RePack</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11</dc:creator>
  <cp:lastModifiedBy>User</cp:lastModifiedBy>
  <cp:revision>100</cp:revision>
  <cp:lastPrinted>2010-07-22T20:49:00Z</cp:lastPrinted>
  <dcterms:created xsi:type="dcterms:W3CDTF">2018-07-13T06:40:00Z</dcterms:created>
  <dcterms:modified xsi:type="dcterms:W3CDTF">2018-10-14T22:40:00Z</dcterms:modified>
</cp:coreProperties>
</file>