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341C" w:rsidRPr="008B365C" w:rsidRDefault="0077482B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8F1DF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-227330</wp:posOffset>
                </wp:positionV>
                <wp:extent cx="6363970" cy="1397635"/>
                <wp:effectExtent l="0" t="0" r="0" b="0"/>
                <wp:wrapSquare wrapText="largest"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3970" cy="139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bottom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88"/>
                              <w:gridCol w:w="4276"/>
                              <w:gridCol w:w="2759"/>
                            </w:tblGrid>
                            <w:tr w:rsidR="00277621" w:rsidRPr="007E3A1A" w:rsidTr="00E920FD">
                              <w:trPr>
                                <w:trHeight w:val="1605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ТОВ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«РА «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Стандарт-Рейтинг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»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(Україна)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04071, Україна, м. Київ, 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вул. В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. Вал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-А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, 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proofErr w:type="spellStart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тел</w:t>
                                  </w:r>
                                  <w:proofErr w:type="spellEnd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: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+38 /044/ 383-59-64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факс  +38 /044/ 383-27-50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77621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http://www.standard-rating.biz/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77621" w:rsidRPr="003C34AD" w:rsidRDefault="00277621" w:rsidP="00277621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277621" w:rsidRPr="003C34AD" w:rsidRDefault="00277621" w:rsidP="0027762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277621" w:rsidRPr="003C34AD" w:rsidRDefault="0077482B" w:rsidP="00277621">
                                  <w:pPr>
                                    <w:jc w:val="center"/>
                                    <w:rPr>
                                      <w:color w:val="333333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>
                                        <wp:extent cx="2399030" cy="565785"/>
                                        <wp:effectExtent l="0" t="0" r="0" b="0"/>
                                        <wp:docPr id="4" name="Рисунок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9030" cy="565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77621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RA 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Standard-Rating</w:t>
                                  </w:r>
                                  <w:r w:rsidRPr="007E3A1A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691CF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LLC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(Ukraine) 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04071, Ukraine, </w:t>
                                  </w:r>
                                  <w:proofErr w:type="spellStart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Kyiv</w:t>
                                  </w:r>
                                  <w:proofErr w:type="spellEnd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, 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  <w:t>. Val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St</w:t>
                                  </w:r>
                                  <w:proofErr w:type="spellEnd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. 4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  <w:t>-A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,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proofErr w:type="spellStart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tel</w:t>
                                  </w:r>
                                  <w:proofErr w:type="spellEnd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. +38 /044/ 383-59-64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proofErr w:type="spellStart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>fax</w:t>
                                  </w:r>
                                  <w:proofErr w:type="spellEnd"/>
                                  <w:r w:rsidRPr="003C34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+38 /044/ 383-27-50</w:t>
                                  </w:r>
                                </w:p>
                                <w:p w:rsidR="00277621" w:rsidRPr="003C34AD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77621" w:rsidRDefault="00277621" w:rsidP="00277621">
                                  <w:pPr>
                                    <w:pStyle w:val="a8"/>
                                    <w:tabs>
                                      <w:tab w:val="left" w:pos="10260"/>
                                    </w:tabs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3C34AD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http://www.standard-rating.biz/</w:t>
                                  </w:r>
                                  <w:r w:rsidRPr="003C34AD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D341C" w:rsidRPr="00A738E7" w:rsidRDefault="00AD341C">
                            <w:pPr>
                              <w:rPr>
                                <w:lang w:val="en-GB"/>
                              </w:rPr>
                            </w:pPr>
                            <w:r w:rsidRPr="00A738E7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.45pt;margin-top:-17.9pt;width:501.1pt;height:1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bottom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88"/>
                        <w:gridCol w:w="4276"/>
                        <w:gridCol w:w="2759"/>
                      </w:tblGrid>
                      <w:tr w:rsidR="00277621" w:rsidRPr="007E3A1A" w:rsidTr="00E920FD">
                        <w:trPr>
                          <w:trHeight w:val="1605"/>
                        </w:trPr>
                        <w:tc>
                          <w:tcPr>
                            <w:tcW w:w="29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ТОВ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«РА «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Стандарт-Рейтинг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»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 (Україна)</w:t>
                            </w:r>
                          </w:p>
                          <w:p w:rsidR="00277621" w:rsidRPr="003C34AD" w:rsidRDefault="00277621" w:rsidP="0027762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04071, Україна, м. Київ, </w:t>
                            </w:r>
                          </w:p>
                          <w:p w:rsidR="00277621" w:rsidRPr="003C34AD" w:rsidRDefault="00277621" w:rsidP="0027762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вул. В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. Вал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 4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-А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: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   +38 /044/ 383-59-64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факс  +38 /044/ 383-27-50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77621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uk-UA"/>
                              </w:rPr>
                              <w:t>http://www.standard-rating.biz/</w:t>
                            </w:r>
                          </w:p>
                        </w:tc>
                        <w:tc>
                          <w:tcPr>
                            <w:tcW w:w="4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77621" w:rsidRPr="003C34AD" w:rsidRDefault="00277621" w:rsidP="00277621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77621" w:rsidRPr="003C34AD" w:rsidRDefault="00277621" w:rsidP="002776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77621" w:rsidRPr="003C34AD" w:rsidRDefault="0077482B" w:rsidP="00277621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C34AD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2399030" cy="565785"/>
                                  <wp:effectExtent l="0" t="0" r="0" b="0"/>
                                  <wp:docPr id="4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7621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RA 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Standard-Rating</w:t>
                            </w:r>
                            <w:r w:rsidRPr="007E3A1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91CF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LLC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 (Ukraine) 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04071, Ukraine, </w:t>
                            </w:r>
                            <w:proofErr w:type="spellStart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Kyiv</w:t>
                            </w:r>
                            <w:proofErr w:type="spellEnd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 Val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St</w:t>
                            </w:r>
                            <w:proofErr w:type="spellEnd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. 4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-A</w:t>
                            </w:r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tel</w:t>
                            </w:r>
                            <w:proofErr w:type="spellEnd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. +38 /044/ 383-59-64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>fax</w:t>
                            </w:r>
                            <w:proofErr w:type="spellEnd"/>
                            <w:r w:rsidRPr="003C34A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  <w:t xml:space="preserve"> +38 /044/ 383-27-50</w:t>
                            </w:r>
                          </w:p>
                          <w:p w:rsidR="00277621" w:rsidRPr="003C34AD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77621" w:rsidRDefault="00277621" w:rsidP="00277621">
                            <w:pPr>
                              <w:pStyle w:val="a8"/>
                              <w:tabs>
                                <w:tab w:val="left" w:pos="10260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C34AD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uk-UA"/>
                              </w:rPr>
                              <w:t>http://www.standard-rating.biz/</w:t>
                            </w:r>
                            <w:r w:rsidRPr="003C34AD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ab/>
                            </w:r>
                          </w:p>
                        </w:tc>
                      </w:tr>
                    </w:tbl>
                    <w:p w:rsidR="00AD341C" w:rsidRPr="00A738E7" w:rsidRDefault="00AD341C">
                      <w:pPr>
                        <w:rPr>
                          <w:lang w:val="en-GB"/>
                        </w:rPr>
                      </w:pPr>
                      <w:r w:rsidRPr="00A738E7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57BD0">
        <w:rPr>
          <w:rFonts w:ascii="Bookman Old Style" w:hAnsi="Bookman Old Style"/>
          <w:lang w:val="uk-UA"/>
        </w:rPr>
        <w:t>0</w:t>
      </w:r>
      <w:r w:rsidR="00E0439B">
        <w:rPr>
          <w:rFonts w:ascii="Bookman Old Style" w:hAnsi="Bookman Old Style"/>
          <w:lang w:val="uk-UA"/>
        </w:rPr>
        <w:t>4</w:t>
      </w:r>
      <w:r w:rsidR="00E3614E" w:rsidRPr="008F1DFB">
        <w:rPr>
          <w:rFonts w:ascii="Bookman Old Style" w:hAnsi="Bookman Old Style"/>
          <w:lang w:val="uk-UA"/>
        </w:rPr>
        <w:t>/</w:t>
      </w:r>
      <w:r w:rsidR="00E0439B">
        <w:rPr>
          <w:rFonts w:ascii="Bookman Old Style" w:hAnsi="Bookman Old Style"/>
          <w:lang w:val="uk-UA"/>
        </w:rPr>
        <w:t>11</w:t>
      </w:r>
      <w:r w:rsidR="00E3614E" w:rsidRPr="008F1DFB">
        <w:rPr>
          <w:rFonts w:ascii="Bookman Old Style" w:hAnsi="Bookman Old Style"/>
          <w:lang w:val="uk-UA"/>
        </w:rPr>
        <w:t>/20</w:t>
      </w:r>
      <w:r w:rsidR="001F023B" w:rsidRPr="008F1DFB">
        <w:rPr>
          <w:rFonts w:ascii="Bookman Old Style" w:hAnsi="Bookman Old Style"/>
          <w:lang w:val="uk-UA"/>
        </w:rPr>
        <w:t>20</w:t>
      </w:r>
    </w:p>
    <w:p w:rsidR="00AD341C" w:rsidRPr="008F1DFB" w:rsidRDefault="00B57BD0" w:rsidP="00B57BD0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Оновлений рейтинг </w:t>
      </w:r>
      <w:r w:rsidR="00D86011" w:rsidRPr="00D86011">
        <w:rPr>
          <w:rFonts w:ascii="Bookman Old Style" w:hAnsi="Bookman Old Style"/>
          <w:b/>
          <w:sz w:val="28"/>
          <w:szCs w:val="28"/>
          <w:lang w:val="uk-UA"/>
        </w:rPr>
        <w:t>ТОВ «НОВА ПОШТА»</w:t>
      </w:r>
    </w:p>
    <w:p w:rsidR="00AD341C" w:rsidRPr="008F1DFB" w:rsidRDefault="00AD341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AD341C" w:rsidRPr="008F1DFB" w:rsidRDefault="00AD341C">
      <w:pPr>
        <w:shd w:val="clear" w:color="auto" w:fill="FFFFFF"/>
        <w:jc w:val="both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b/>
          <w:sz w:val="20"/>
          <w:szCs w:val="20"/>
          <w:lang w:val="uk-UA"/>
        </w:rPr>
        <w:tab/>
      </w:r>
      <w:bookmarkStart w:id="0" w:name="_GoBack"/>
      <w:bookmarkEnd w:id="0"/>
      <w:r w:rsidR="00E0439B">
        <w:rPr>
          <w:rFonts w:ascii="Bookman Old Style" w:hAnsi="Bookman Old Style"/>
          <w:b/>
          <w:lang w:val="uk-UA"/>
        </w:rPr>
        <w:t>4</w:t>
      </w:r>
      <w:r w:rsidRPr="008F1DFB">
        <w:rPr>
          <w:rFonts w:ascii="Bookman Old Style" w:hAnsi="Bookman Old Style"/>
          <w:b/>
          <w:lang w:val="uk-UA"/>
        </w:rPr>
        <w:t xml:space="preserve"> </w:t>
      </w:r>
      <w:r w:rsidR="00E0439B">
        <w:rPr>
          <w:rFonts w:ascii="Bookman Old Style" w:hAnsi="Bookman Old Style"/>
          <w:b/>
          <w:lang w:val="uk-UA"/>
        </w:rPr>
        <w:t>листопада</w:t>
      </w:r>
      <w:r w:rsidR="00E3614E" w:rsidRPr="008F1DFB">
        <w:rPr>
          <w:rFonts w:ascii="Bookman Old Style" w:hAnsi="Bookman Old Style"/>
          <w:b/>
          <w:lang w:val="uk-UA"/>
        </w:rPr>
        <w:t xml:space="preserve"> 20</w:t>
      </w:r>
      <w:r w:rsidR="001F023B" w:rsidRPr="008F1DFB">
        <w:rPr>
          <w:rFonts w:ascii="Bookman Old Style" w:hAnsi="Bookman Old Style"/>
          <w:b/>
          <w:lang w:val="uk-UA"/>
        </w:rPr>
        <w:t>20</w:t>
      </w:r>
      <w:r w:rsidRPr="008F1DFB">
        <w:rPr>
          <w:rFonts w:ascii="Bookman Old Style" w:hAnsi="Bookman Old Style"/>
          <w:b/>
          <w:lang w:val="uk-UA"/>
        </w:rPr>
        <w:t xml:space="preserve"> </w:t>
      </w:r>
      <w:r w:rsidR="008264E7" w:rsidRPr="008F1DFB">
        <w:rPr>
          <w:rFonts w:ascii="Bookman Old Style" w:hAnsi="Bookman Old Style"/>
          <w:b/>
          <w:lang w:val="uk-UA"/>
        </w:rPr>
        <w:t>року</w:t>
      </w:r>
      <w:r w:rsidRPr="008F1DFB">
        <w:rPr>
          <w:rFonts w:ascii="Bookman Old Style" w:hAnsi="Bookman Old Style"/>
          <w:lang w:val="uk-UA"/>
        </w:rPr>
        <w:t xml:space="preserve"> Рейтингове агентство «Стандарт-Рейтинг» при</w:t>
      </w:r>
      <w:r w:rsidR="008264E7" w:rsidRPr="008F1DFB">
        <w:rPr>
          <w:rFonts w:ascii="Bookman Old Style" w:hAnsi="Bookman Old Style"/>
          <w:lang w:val="uk-UA"/>
        </w:rPr>
        <w:t>й</w:t>
      </w:r>
      <w:r w:rsidRPr="008F1DFB">
        <w:rPr>
          <w:rFonts w:ascii="Bookman Old Style" w:hAnsi="Bookman Old Style"/>
          <w:lang w:val="uk-UA"/>
        </w:rPr>
        <w:t xml:space="preserve">няло </w:t>
      </w:r>
      <w:r w:rsidR="008264E7" w:rsidRPr="008F1DFB">
        <w:rPr>
          <w:rFonts w:ascii="Bookman Old Style" w:hAnsi="Bookman Old Style"/>
          <w:lang w:val="uk-UA"/>
        </w:rPr>
        <w:t>рішення</w:t>
      </w:r>
      <w:r w:rsidRPr="008F1DFB">
        <w:rPr>
          <w:rFonts w:ascii="Bookman Old Style" w:hAnsi="Bookman Old Style"/>
          <w:lang w:val="uk-UA"/>
        </w:rPr>
        <w:t xml:space="preserve"> </w:t>
      </w:r>
      <w:r w:rsidR="008264E7" w:rsidRPr="008F1DFB">
        <w:rPr>
          <w:rFonts w:ascii="Bookman Old Style" w:hAnsi="Bookman Old Style"/>
          <w:lang w:val="uk-UA"/>
        </w:rPr>
        <w:t>про</w:t>
      </w:r>
      <w:r w:rsidRPr="008F1DFB">
        <w:rPr>
          <w:rFonts w:ascii="Bookman Old Style" w:hAnsi="Bookman Old Style"/>
          <w:lang w:val="uk-UA"/>
        </w:rPr>
        <w:t xml:space="preserve"> </w:t>
      </w:r>
      <w:r w:rsidR="008264E7" w:rsidRPr="008F1DFB">
        <w:rPr>
          <w:rFonts w:ascii="Bookman Old Style" w:hAnsi="Bookman Old Style"/>
          <w:lang w:val="uk-UA"/>
        </w:rPr>
        <w:t>оновлення</w:t>
      </w:r>
      <w:r w:rsidRPr="008F1DFB">
        <w:rPr>
          <w:rFonts w:ascii="Bookman Old Style" w:hAnsi="Bookman Old Style"/>
          <w:lang w:val="uk-UA"/>
        </w:rPr>
        <w:t xml:space="preserve"> </w:t>
      </w:r>
      <w:r w:rsidR="00ED75D1" w:rsidRPr="008F1DFB">
        <w:rPr>
          <w:rFonts w:ascii="Bookman Old Style" w:hAnsi="Bookman Old Style"/>
          <w:lang w:val="uk-UA"/>
        </w:rPr>
        <w:t xml:space="preserve">кредитного рейтингу емітента та </w:t>
      </w:r>
      <w:bookmarkStart w:id="1" w:name="_Hlk42640635"/>
      <w:r w:rsidR="00ED75D1" w:rsidRPr="008F1DFB">
        <w:rPr>
          <w:rFonts w:ascii="Bookman Old Style" w:hAnsi="Bookman Old Style"/>
          <w:lang w:val="uk-UA"/>
        </w:rPr>
        <w:t xml:space="preserve">кредитного </w:t>
      </w:r>
      <w:r w:rsidR="00ED75D1" w:rsidRPr="00AD2BC2">
        <w:rPr>
          <w:rFonts w:ascii="Bookman Old Style" w:hAnsi="Bookman Old Style"/>
          <w:lang w:val="uk-UA"/>
        </w:rPr>
        <w:t xml:space="preserve">рейтингу </w:t>
      </w:r>
      <w:bookmarkEnd w:id="1"/>
      <w:r w:rsidR="00ED75D1" w:rsidRPr="00AD2BC2">
        <w:rPr>
          <w:rFonts w:ascii="Bookman Old Style" w:hAnsi="Bookman Old Style"/>
          <w:lang w:val="uk-UA"/>
        </w:rPr>
        <w:t>облігаці</w:t>
      </w:r>
      <w:r w:rsidR="00B57BD0">
        <w:rPr>
          <w:rFonts w:ascii="Bookman Old Style" w:hAnsi="Bookman Old Style"/>
          <w:lang w:val="uk-UA"/>
        </w:rPr>
        <w:t>й</w:t>
      </w:r>
      <w:r w:rsidR="00ED75D1" w:rsidRPr="00AD2BC2">
        <w:rPr>
          <w:rFonts w:ascii="Bookman Old Style" w:hAnsi="Bookman Old Style"/>
          <w:lang w:val="uk-UA"/>
        </w:rPr>
        <w:t xml:space="preserve"> </w:t>
      </w:r>
      <w:r w:rsidR="00035390" w:rsidRPr="00AD2BC2">
        <w:rPr>
          <w:rFonts w:ascii="Bookman Old Style" w:hAnsi="Bookman Old Style"/>
          <w:lang w:val="uk-UA"/>
        </w:rPr>
        <w:t>сері</w:t>
      </w:r>
      <w:r w:rsidR="00646C46">
        <w:rPr>
          <w:rFonts w:ascii="Bookman Old Style" w:hAnsi="Bookman Old Style"/>
          <w:lang w:val="uk-UA"/>
        </w:rPr>
        <w:t>ї</w:t>
      </w:r>
      <w:r w:rsidR="00035390" w:rsidRPr="00AD2BC2">
        <w:rPr>
          <w:rFonts w:ascii="Bookman Old Style" w:hAnsi="Bookman Old Style"/>
          <w:lang w:val="uk-UA"/>
        </w:rPr>
        <w:t xml:space="preserve"> </w:t>
      </w:r>
      <w:r w:rsidR="00AD2BC2">
        <w:rPr>
          <w:rFonts w:ascii="Bookman Old Style" w:hAnsi="Bookman Old Style"/>
          <w:lang w:val="uk-UA"/>
        </w:rPr>
        <w:t>«</w:t>
      </w:r>
      <w:r w:rsidR="00035390" w:rsidRPr="00AD2BC2">
        <w:rPr>
          <w:rFonts w:ascii="Bookman Old Style" w:hAnsi="Bookman Old Style"/>
          <w:lang w:val="uk-UA"/>
        </w:rPr>
        <w:t>В</w:t>
      </w:r>
      <w:r w:rsidR="00AD2BC2">
        <w:rPr>
          <w:rFonts w:ascii="Bookman Old Style" w:hAnsi="Bookman Old Style"/>
          <w:lang w:val="uk-UA"/>
        </w:rPr>
        <w:t>»</w:t>
      </w:r>
      <w:r w:rsidR="00035390" w:rsidRPr="00AD2BC2">
        <w:rPr>
          <w:rFonts w:ascii="Bookman Old Style" w:hAnsi="Bookman Old Style"/>
          <w:lang w:val="uk-UA"/>
        </w:rPr>
        <w:t xml:space="preserve"> </w:t>
      </w:r>
      <w:r w:rsidR="00ED75D1" w:rsidRPr="00AD2BC2">
        <w:rPr>
          <w:rFonts w:ascii="Bookman Old Style" w:hAnsi="Bookman Old Style"/>
          <w:lang w:val="uk-UA"/>
        </w:rPr>
        <w:t>Товариству з обмеженою відповідальністю «НОВА ПОШТА» (ЄДРПОУ</w:t>
      </w:r>
      <w:r w:rsidR="00ED75D1" w:rsidRPr="008F1DFB">
        <w:rPr>
          <w:rFonts w:ascii="Bookman Old Style" w:hAnsi="Bookman Old Style"/>
          <w:lang w:val="uk-UA"/>
        </w:rPr>
        <w:t xml:space="preserve"> 31316718) на рівні </w:t>
      </w:r>
      <w:proofErr w:type="spellStart"/>
      <w:r w:rsidR="00ED75D1" w:rsidRPr="008F1DFB">
        <w:rPr>
          <w:rFonts w:ascii="Bookman Old Style" w:hAnsi="Bookman Old Style"/>
          <w:b/>
          <w:bCs/>
          <w:lang w:val="uk-UA"/>
        </w:rPr>
        <w:t>uaА</w:t>
      </w:r>
      <w:proofErr w:type="spellEnd"/>
      <w:r w:rsidR="00E0439B">
        <w:rPr>
          <w:rFonts w:ascii="Bookman Old Style" w:hAnsi="Bookman Old Style"/>
          <w:b/>
          <w:bCs/>
          <w:lang w:val="uk-UA"/>
        </w:rPr>
        <w:t>+</w:t>
      </w:r>
      <w:r w:rsidR="00ED75D1" w:rsidRPr="008F1DFB">
        <w:rPr>
          <w:rFonts w:ascii="Bookman Old Style" w:hAnsi="Bookman Old Style"/>
          <w:lang w:val="uk-UA"/>
        </w:rPr>
        <w:t xml:space="preserve">. Позичальник або окремий борговий інструмент з рейтингом </w:t>
      </w:r>
      <w:proofErr w:type="spellStart"/>
      <w:r w:rsidR="00ED75D1" w:rsidRPr="008F1DFB">
        <w:rPr>
          <w:rFonts w:ascii="Bookman Old Style" w:hAnsi="Bookman Old Style"/>
          <w:lang w:val="uk-UA"/>
        </w:rPr>
        <w:t>uaА</w:t>
      </w:r>
      <w:proofErr w:type="spellEnd"/>
      <w:r w:rsidR="00E0439B">
        <w:rPr>
          <w:rFonts w:ascii="Bookman Old Style" w:hAnsi="Bookman Old Style"/>
          <w:lang w:val="uk-UA"/>
        </w:rPr>
        <w:t>+</w:t>
      </w:r>
      <w:r w:rsidR="00ED75D1" w:rsidRPr="008F1DFB">
        <w:rPr>
          <w:rFonts w:ascii="Bookman Old Style" w:hAnsi="Bookman Old Style"/>
          <w:lang w:val="uk-UA"/>
        </w:rPr>
        <w:t xml:space="preserve"> характеризується високою  кредитоспроможністю  порівняно з іншими українськими позичальниками або борговими інструментами. Рівень кредитоспроможності чутливий до впливу несприятливих комерційних, фінансових та економічних умов. </w:t>
      </w:r>
      <w:r w:rsidR="008264E7" w:rsidRPr="008F1DFB">
        <w:rPr>
          <w:rFonts w:ascii="Bookman Old Style" w:hAnsi="Bookman Old Style"/>
          <w:lang w:val="uk-UA"/>
        </w:rPr>
        <w:t xml:space="preserve">Рейтингова оцінка </w:t>
      </w:r>
      <w:r w:rsidR="00ED75D1" w:rsidRPr="008F1DFB">
        <w:rPr>
          <w:rFonts w:ascii="Bookman Old Style" w:hAnsi="Bookman Old Style"/>
          <w:lang w:val="uk-UA"/>
        </w:rPr>
        <w:t xml:space="preserve">ТОВ «НОВА ПОШТА» </w:t>
      </w:r>
      <w:r w:rsidR="008264E7" w:rsidRPr="008F1DFB">
        <w:rPr>
          <w:rFonts w:ascii="Bookman Old Style" w:hAnsi="Bookman Old Style"/>
          <w:lang w:val="uk-UA"/>
        </w:rPr>
        <w:t xml:space="preserve">оновлювалася виходячи з аналізу підсумків роботи </w:t>
      </w:r>
      <w:r w:rsidR="00B504D9">
        <w:rPr>
          <w:rFonts w:ascii="Bookman Old Style" w:hAnsi="Bookman Old Style"/>
          <w:lang w:val="uk-UA"/>
        </w:rPr>
        <w:t>Компанії</w:t>
      </w:r>
      <w:r w:rsidR="008264E7" w:rsidRPr="008F1DFB">
        <w:rPr>
          <w:rFonts w:ascii="Bookman Old Style" w:hAnsi="Bookman Old Style"/>
          <w:lang w:val="uk-UA"/>
        </w:rPr>
        <w:t xml:space="preserve"> за </w:t>
      </w:r>
      <w:r w:rsidR="00E0439B">
        <w:rPr>
          <w:rFonts w:ascii="Bookman Old Style" w:hAnsi="Bookman Old Style"/>
          <w:lang w:val="uk-UA"/>
        </w:rPr>
        <w:t>9 місяців</w:t>
      </w:r>
      <w:r w:rsidR="00B57BD0">
        <w:rPr>
          <w:rFonts w:ascii="Bookman Old Style" w:hAnsi="Bookman Old Style"/>
          <w:lang w:val="uk-UA"/>
        </w:rPr>
        <w:t xml:space="preserve"> </w:t>
      </w:r>
      <w:r w:rsidR="008264E7" w:rsidRPr="008F1DFB">
        <w:rPr>
          <w:rFonts w:ascii="Bookman Old Style" w:hAnsi="Bookman Old Style"/>
          <w:lang w:val="uk-UA"/>
        </w:rPr>
        <w:t>20</w:t>
      </w:r>
      <w:r w:rsidR="00035390">
        <w:rPr>
          <w:rFonts w:ascii="Bookman Old Style" w:hAnsi="Bookman Old Style"/>
          <w:lang w:val="uk-UA"/>
        </w:rPr>
        <w:t>20</w:t>
      </w:r>
      <w:r w:rsidR="008264E7" w:rsidRPr="008F1DFB">
        <w:rPr>
          <w:rFonts w:ascii="Bookman Old Style" w:hAnsi="Bookman Old Style"/>
          <w:lang w:val="uk-UA"/>
        </w:rPr>
        <w:t xml:space="preserve"> р</w:t>
      </w:r>
      <w:r w:rsidR="00035390">
        <w:rPr>
          <w:rFonts w:ascii="Bookman Old Style" w:hAnsi="Bookman Old Style"/>
          <w:lang w:val="uk-UA"/>
        </w:rPr>
        <w:t>оку</w:t>
      </w:r>
      <w:r w:rsidR="008264E7" w:rsidRPr="008F1DFB">
        <w:rPr>
          <w:rFonts w:ascii="Bookman Old Style" w:hAnsi="Bookman Old Style"/>
          <w:lang w:val="uk-UA"/>
        </w:rPr>
        <w:t>.</w:t>
      </w:r>
    </w:p>
    <w:p w:rsidR="00AD341C" w:rsidRPr="008F1DFB" w:rsidRDefault="00AD341C">
      <w:pPr>
        <w:shd w:val="clear" w:color="auto" w:fill="FFFFFF"/>
        <w:jc w:val="both"/>
        <w:rPr>
          <w:rFonts w:ascii="Bookman Old Style" w:hAnsi="Bookman Old Style"/>
          <w:shd w:val="clear" w:color="auto" w:fill="FFFF00"/>
          <w:lang w:val="uk-UA"/>
        </w:rPr>
      </w:pPr>
    </w:p>
    <w:p w:rsidR="00AD341C" w:rsidRPr="008F1DFB" w:rsidRDefault="00AD341C" w:rsidP="00D86011">
      <w:pPr>
        <w:shd w:val="clear" w:color="auto" w:fill="FFFFFF"/>
        <w:ind w:firstLine="708"/>
        <w:jc w:val="both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lang w:val="uk-UA"/>
        </w:rPr>
        <w:t xml:space="preserve">1. </w:t>
      </w:r>
      <w:r w:rsidR="00971E26">
        <w:rPr>
          <w:rFonts w:ascii="Bookman Old Style" w:hAnsi="Bookman Old Style"/>
          <w:lang w:val="uk-UA"/>
        </w:rPr>
        <w:t>А</w:t>
      </w:r>
      <w:r w:rsidR="00971E26" w:rsidRPr="00971E26">
        <w:rPr>
          <w:rFonts w:ascii="Bookman Old Style" w:hAnsi="Bookman Old Style"/>
          <w:lang w:val="uk-UA"/>
        </w:rPr>
        <w:t xml:space="preserve">ктиви ТОВ «НОВА ПОШТА </w:t>
      </w:r>
      <w:r w:rsidR="00971E26">
        <w:rPr>
          <w:rFonts w:ascii="Bookman Old Style" w:hAnsi="Bookman Old Style"/>
          <w:lang w:val="uk-UA"/>
        </w:rPr>
        <w:t>з</w:t>
      </w:r>
      <w:r w:rsidR="00343096">
        <w:rPr>
          <w:rFonts w:ascii="Bookman Old Style" w:hAnsi="Bookman Old Style"/>
          <w:lang w:val="uk-UA"/>
        </w:rPr>
        <w:t>а період з 01.01.2020 по 01.</w:t>
      </w:r>
      <w:r w:rsidR="00971E26">
        <w:rPr>
          <w:rFonts w:ascii="Bookman Old Style" w:hAnsi="Bookman Old Style"/>
          <w:lang w:val="uk-UA"/>
        </w:rPr>
        <w:t>10</w:t>
      </w:r>
      <w:r w:rsidR="00343096">
        <w:rPr>
          <w:rFonts w:ascii="Bookman Old Style" w:hAnsi="Bookman Old Style"/>
          <w:lang w:val="uk-UA"/>
        </w:rPr>
        <w:t>.2020 р.</w:t>
      </w:r>
      <w:bookmarkStart w:id="2" w:name="_Hlk36680635"/>
      <w:r w:rsidR="00ED75D1" w:rsidRPr="008F1DFB">
        <w:rPr>
          <w:rFonts w:ascii="Bookman Old Style" w:hAnsi="Bookman Old Style"/>
          <w:lang w:val="uk-UA"/>
        </w:rPr>
        <w:t xml:space="preserve"> </w:t>
      </w:r>
      <w:bookmarkEnd w:id="2"/>
      <w:r w:rsidR="00971E26">
        <w:rPr>
          <w:rFonts w:ascii="Bookman Old Style" w:hAnsi="Bookman Old Style"/>
          <w:lang w:val="uk-UA"/>
        </w:rPr>
        <w:t>продемонстрували приріст</w:t>
      </w:r>
      <w:r w:rsidR="00246C44">
        <w:rPr>
          <w:rFonts w:ascii="Bookman Old Style" w:hAnsi="Bookman Old Style"/>
          <w:lang w:val="uk-UA"/>
        </w:rPr>
        <w:t xml:space="preserve"> </w:t>
      </w:r>
      <w:r w:rsidR="00A56E51">
        <w:rPr>
          <w:rFonts w:ascii="Bookman Old Style" w:hAnsi="Bookman Old Style"/>
          <w:lang w:val="uk-UA"/>
        </w:rPr>
        <w:t xml:space="preserve">на </w:t>
      </w:r>
      <w:r w:rsidR="00343096">
        <w:rPr>
          <w:rFonts w:ascii="Bookman Old Style" w:hAnsi="Bookman Old Style"/>
          <w:lang w:val="uk-UA"/>
        </w:rPr>
        <w:t>18,</w:t>
      </w:r>
      <w:r w:rsidR="00971E26">
        <w:rPr>
          <w:rFonts w:ascii="Bookman Old Style" w:hAnsi="Bookman Old Style"/>
          <w:lang w:val="uk-UA"/>
        </w:rPr>
        <w:t>44</w:t>
      </w:r>
      <w:r w:rsidR="00A56E51">
        <w:rPr>
          <w:rFonts w:ascii="Bookman Old Style" w:hAnsi="Bookman Old Style"/>
          <w:lang w:val="uk-UA"/>
        </w:rPr>
        <w:t>%</w:t>
      </w:r>
      <w:r w:rsidR="008264E7" w:rsidRPr="008F1DFB">
        <w:rPr>
          <w:rFonts w:ascii="Bookman Old Style" w:hAnsi="Bookman Old Style"/>
          <w:lang w:val="uk-UA"/>
        </w:rPr>
        <w:t xml:space="preserve"> </w:t>
      </w:r>
      <w:r w:rsidR="00246C44">
        <w:rPr>
          <w:rFonts w:ascii="Bookman Old Style" w:hAnsi="Bookman Old Style"/>
          <w:lang w:val="uk-UA"/>
        </w:rPr>
        <w:t>до</w:t>
      </w:r>
      <w:r w:rsidR="008264E7" w:rsidRPr="008F1DFB">
        <w:rPr>
          <w:rFonts w:ascii="Bookman Old Style" w:hAnsi="Bookman Old Style"/>
          <w:lang w:val="uk-UA"/>
        </w:rPr>
        <w:t xml:space="preserve"> </w:t>
      </w:r>
      <w:r w:rsidR="00343096">
        <w:rPr>
          <w:rFonts w:ascii="Bookman Old Style" w:hAnsi="Bookman Old Style"/>
          <w:lang w:val="uk-UA"/>
        </w:rPr>
        <w:t>6,12</w:t>
      </w:r>
      <w:r w:rsidR="00971E26">
        <w:rPr>
          <w:rFonts w:ascii="Bookman Old Style" w:hAnsi="Bookman Old Style"/>
          <w:lang w:val="uk-UA"/>
        </w:rPr>
        <w:t>1</w:t>
      </w:r>
      <w:r w:rsidR="008264E7" w:rsidRPr="008F1DFB">
        <w:rPr>
          <w:rFonts w:ascii="Bookman Old Style" w:hAnsi="Bookman Old Style"/>
          <w:lang w:val="uk-UA"/>
        </w:rPr>
        <w:t xml:space="preserve"> мл</w:t>
      </w:r>
      <w:r w:rsidR="00277621" w:rsidRPr="008F1DFB">
        <w:rPr>
          <w:rFonts w:ascii="Bookman Old Style" w:hAnsi="Bookman Old Style"/>
          <w:lang w:val="uk-UA"/>
        </w:rPr>
        <w:t>рд</w:t>
      </w:r>
      <w:r w:rsidR="008264E7" w:rsidRPr="008F1DFB">
        <w:rPr>
          <w:rFonts w:ascii="Bookman Old Style" w:hAnsi="Bookman Old Style"/>
          <w:lang w:val="uk-UA"/>
        </w:rPr>
        <w:t xml:space="preserve">. </w:t>
      </w:r>
      <w:r w:rsidR="0035019B" w:rsidRPr="008F1DFB">
        <w:rPr>
          <w:rFonts w:ascii="Bookman Old Style" w:hAnsi="Bookman Old Style"/>
          <w:lang w:val="uk-UA"/>
        </w:rPr>
        <w:t>г</w:t>
      </w:r>
      <w:r w:rsidR="008264E7" w:rsidRPr="008F1DFB">
        <w:rPr>
          <w:rFonts w:ascii="Bookman Old Style" w:hAnsi="Bookman Old Style"/>
          <w:lang w:val="uk-UA"/>
        </w:rPr>
        <w:t xml:space="preserve">рн. </w:t>
      </w:r>
      <w:r w:rsidR="00971E26">
        <w:rPr>
          <w:rFonts w:ascii="Bookman Old Style" w:hAnsi="Bookman Old Style"/>
          <w:lang w:val="uk-UA"/>
        </w:rPr>
        <w:t>Власний капітал Компанії за цей же час виріс в 1,72 рази і склав 2,182 млрд. грн. Агентство звертає увагу, що станом на 01.10.2020 р.</w:t>
      </w:r>
      <w:r w:rsidR="00971E26" w:rsidRPr="00971E26">
        <w:t xml:space="preserve"> </w:t>
      </w:r>
      <w:r w:rsidR="00971E26" w:rsidRPr="00971E26">
        <w:rPr>
          <w:rFonts w:ascii="Bookman Old Style" w:hAnsi="Bookman Old Style"/>
          <w:lang w:val="uk-UA"/>
        </w:rPr>
        <w:t>власний капітал ТОВ «НОВА ПОШТА» був на 9</w:t>
      </w:r>
      <w:r w:rsidR="000C0D1C">
        <w:rPr>
          <w:rFonts w:ascii="Bookman Old Style" w:hAnsi="Bookman Old Style"/>
          <w:lang w:val="uk-UA"/>
        </w:rPr>
        <w:t>8,53</w:t>
      </w:r>
      <w:r w:rsidR="00971E26" w:rsidRPr="00971E26">
        <w:rPr>
          <w:rFonts w:ascii="Bookman Old Style" w:hAnsi="Bookman Old Style"/>
          <w:lang w:val="uk-UA"/>
        </w:rPr>
        <w:t xml:space="preserve">% сформований за рахунок нерозподіленого прибутку, </w:t>
      </w:r>
      <w:r w:rsidR="000C0D1C">
        <w:rPr>
          <w:rFonts w:ascii="Bookman Old Style" w:hAnsi="Bookman Old Style"/>
          <w:lang w:val="uk-UA"/>
        </w:rPr>
        <w:t>і його</w:t>
      </w:r>
      <w:r w:rsidR="00971E26" w:rsidRPr="00971E26">
        <w:rPr>
          <w:rFonts w:ascii="Bookman Old Style" w:hAnsi="Bookman Old Style"/>
          <w:lang w:val="uk-UA"/>
        </w:rPr>
        <w:t xml:space="preserve"> зростання </w:t>
      </w:r>
      <w:r w:rsidR="000C0D1C">
        <w:rPr>
          <w:rFonts w:ascii="Bookman Old Style" w:hAnsi="Bookman Old Style"/>
          <w:lang w:val="uk-UA"/>
        </w:rPr>
        <w:t>було зумовлене як зростання</w:t>
      </w:r>
      <w:r w:rsidR="000B5719">
        <w:rPr>
          <w:rFonts w:ascii="Bookman Old Style" w:hAnsi="Bookman Old Style"/>
          <w:lang w:val="uk-UA"/>
        </w:rPr>
        <w:t>м</w:t>
      </w:r>
      <w:r w:rsidR="000C0D1C">
        <w:rPr>
          <w:rFonts w:ascii="Bookman Old Style" w:hAnsi="Bookman Old Style"/>
          <w:lang w:val="uk-UA"/>
        </w:rPr>
        <w:t xml:space="preserve"> обсягів нерозподіленого прибутку, так і збільшенням більше ніж в 10 разів суми статутного капіталу до 4,654 млн. грн., яке відбулось в 2020 році. </w:t>
      </w:r>
      <w:r w:rsidR="008264E7" w:rsidRPr="008F1DFB">
        <w:rPr>
          <w:rFonts w:ascii="Bookman Old Style" w:hAnsi="Bookman Old Style"/>
          <w:lang w:val="uk-UA"/>
        </w:rPr>
        <w:t xml:space="preserve">Зобов'язання </w:t>
      </w:r>
      <w:r w:rsidR="000C0D1C" w:rsidRPr="000C0D1C">
        <w:rPr>
          <w:rFonts w:ascii="Bookman Old Style" w:hAnsi="Bookman Old Style"/>
          <w:lang w:val="uk-UA"/>
        </w:rPr>
        <w:t xml:space="preserve">ТОВ «НОВА ПОШТА </w:t>
      </w:r>
      <w:r w:rsidR="000C0D1C">
        <w:rPr>
          <w:rFonts w:ascii="Bookman Old Style" w:hAnsi="Bookman Old Style"/>
          <w:lang w:val="uk-UA"/>
        </w:rPr>
        <w:t>за 9 місяців 2020 року</w:t>
      </w:r>
      <w:r w:rsidR="00A56E51">
        <w:rPr>
          <w:rFonts w:ascii="Bookman Old Style" w:hAnsi="Bookman Old Style"/>
          <w:lang w:val="uk-UA"/>
        </w:rPr>
        <w:t xml:space="preserve"> </w:t>
      </w:r>
      <w:r w:rsidR="00F65E02">
        <w:rPr>
          <w:rFonts w:ascii="Bookman Old Style" w:hAnsi="Bookman Old Style"/>
          <w:lang w:val="uk-UA"/>
        </w:rPr>
        <w:t>виросли</w:t>
      </w:r>
      <w:r w:rsidR="008264E7" w:rsidRPr="008F1DFB">
        <w:rPr>
          <w:rFonts w:ascii="Bookman Old Style" w:hAnsi="Bookman Old Style"/>
          <w:lang w:val="uk-UA"/>
        </w:rPr>
        <w:t xml:space="preserve"> на </w:t>
      </w:r>
      <w:r w:rsidR="00F65E02">
        <w:rPr>
          <w:rFonts w:ascii="Bookman Old Style" w:hAnsi="Bookman Old Style"/>
          <w:lang w:val="uk-UA"/>
        </w:rPr>
        <w:t>1</w:t>
      </w:r>
      <w:r w:rsidR="000C0D1C">
        <w:rPr>
          <w:rFonts w:ascii="Bookman Old Style" w:hAnsi="Bookman Old Style"/>
          <w:lang w:val="uk-UA"/>
        </w:rPr>
        <w:t>,10</w:t>
      </w:r>
      <w:r w:rsidR="008264E7" w:rsidRPr="008F1DFB">
        <w:rPr>
          <w:rFonts w:ascii="Bookman Old Style" w:hAnsi="Bookman Old Style"/>
          <w:lang w:val="uk-UA"/>
        </w:rPr>
        <w:t xml:space="preserve">% </w:t>
      </w:r>
      <w:r w:rsidR="00F65E02">
        <w:rPr>
          <w:rFonts w:ascii="Bookman Old Style" w:hAnsi="Bookman Old Style"/>
          <w:lang w:val="uk-UA"/>
        </w:rPr>
        <w:t xml:space="preserve">до </w:t>
      </w:r>
      <w:r w:rsidR="000B5719">
        <w:rPr>
          <w:rFonts w:ascii="Bookman Old Style" w:hAnsi="Bookman Old Style"/>
          <w:lang w:val="uk-UA"/>
        </w:rPr>
        <w:t>3,939</w:t>
      </w:r>
      <w:r w:rsidR="008264E7" w:rsidRPr="008F1DFB">
        <w:rPr>
          <w:rFonts w:ascii="Bookman Old Style" w:hAnsi="Bookman Old Style"/>
          <w:lang w:val="uk-UA"/>
        </w:rPr>
        <w:t xml:space="preserve"> мл</w:t>
      </w:r>
      <w:r w:rsidR="00F65E02">
        <w:rPr>
          <w:rFonts w:ascii="Bookman Old Style" w:hAnsi="Bookman Old Style"/>
          <w:lang w:val="uk-UA"/>
        </w:rPr>
        <w:t>рд</w:t>
      </w:r>
      <w:r w:rsidR="008264E7" w:rsidRPr="008F1DFB">
        <w:rPr>
          <w:rFonts w:ascii="Bookman Old Style" w:hAnsi="Bookman Old Style"/>
          <w:lang w:val="uk-UA"/>
        </w:rPr>
        <w:t xml:space="preserve">. </w:t>
      </w:r>
      <w:r w:rsidR="0035019B" w:rsidRPr="008F1DFB">
        <w:rPr>
          <w:rFonts w:ascii="Bookman Old Style" w:hAnsi="Bookman Old Style"/>
          <w:lang w:val="uk-UA"/>
        </w:rPr>
        <w:t>г</w:t>
      </w:r>
      <w:r w:rsidR="008264E7" w:rsidRPr="008F1DFB">
        <w:rPr>
          <w:rFonts w:ascii="Bookman Old Style" w:hAnsi="Bookman Old Style"/>
          <w:lang w:val="uk-UA"/>
        </w:rPr>
        <w:t xml:space="preserve">рн. </w:t>
      </w:r>
      <w:r w:rsidR="000C0D1C">
        <w:rPr>
          <w:rFonts w:ascii="Bookman Old Style" w:hAnsi="Bookman Old Style"/>
          <w:lang w:val="uk-UA"/>
        </w:rPr>
        <w:t>Значні</w:t>
      </w:r>
      <w:r w:rsidR="00A56E51">
        <w:rPr>
          <w:rFonts w:ascii="Bookman Old Style" w:hAnsi="Bookman Old Style"/>
          <w:lang w:val="uk-UA"/>
        </w:rPr>
        <w:t xml:space="preserve"> </w:t>
      </w:r>
      <w:r w:rsidR="00F65E02">
        <w:rPr>
          <w:rFonts w:ascii="Bookman Old Style" w:hAnsi="Bookman Old Style"/>
          <w:lang w:val="uk-UA"/>
        </w:rPr>
        <w:t xml:space="preserve">темпи зростання власного капіталу </w:t>
      </w:r>
      <w:r w:rsidR="000C0D1C">
        <w:rPr>
          <w:rFonts w:ascii="Bookman Old Style" w:hAnsi="Bookman Old Style"/>
          <w:lang w:val="uk-UA"/>
        </w:rPr>
        <w:t xml:space="preserve">Компанії на фоні майже незмінного обсягу її </w:t>
      </w:r>
      <w:r w:rsidR="00F65E02">
        <w:rPr>
          <w:rFonts w:ascii="Bookman Old Style" w:hAnsi="Bookman Old Style"/>
          <w:lang w:val="uk-UA"/>
        </w:rPr>
        <w:t xml:space="preserve">зобов’язань призвели </w:t>
      </w:r>
      <w:r w:rsidR="000C0D1C">
        <w:rPr>
          <w:rFonts w:ascii="Bookman Old Style" w:hAnsi="Bookman Old Style"/>
          <w:lang w:val="uk-UA"/>
        </w:rPr>
        <w:t>до зростання</w:t>
      </w:r>
      <w:r w:rsidR="00F65E02">
        <w:rPr>
          <w:rFonts w:ascii="Bookman Old Style" w:hAnsi="Bookman Old Style"/>
          <w:lang w:val="uk-UA"/>
        </w:rPr>
        <w:t xml:space="preserve"> співвідношення між власним капіталом та зобов’язаннями </w:t>
      </w:r>
      <w:r w:rsidR="000C0D1C" w:rsidRPr="000C0D1C">
        <w:rPr>
          <w:rFonts w:ascii="Bookman Old Style" w:hAnsi="Bookman Old Style"/>
          <w:lang w:val="uk-UA"/>
        </w:rPr>
        <w:t>ТОВ «НОВА ПОШТА</w:t>
      </w:r>
      <w:r w:rsidR="00F65E02">
        <w:rPr>
          <w:rFonts w:ascii="Bookman Old Style" w:hAnsi="Bookman Old Style"/>
          <w:lang w:val="uk-UA"/>
        </w:rPr>
        <w:t xml:space="preserve"> на </w:t>
      </w:r>
      <w:r w:rsidR="000C0D1C">
        <w:rPr>
          <w:rFonts w:ascii="Bookman Old Style" w:hAnsi="Bookman Old Style"/>
          <w:lang w:val="uk-UA"/>
        </w:rPr>
        <w:t>22,75</w:t>
      </w:r>
      <w:r w:rsidR="00F65E02">
        <w:rPr>
          <w:rFonts w:ascii="Bookman Old Style" w:hAnsi="Bookman Old Style"/>
          <w:lang w:val="uk-UA"/>
        </w:rPr>
        <w:t xml:space="preserve"> </w:t>
      </w:r>
      <w:proofErr w:type="spellStart"/>
      <w:r w:rsidR="00F65E02">
        <w:rPr>
          <w:rFonts w:ascii="Bookman Old Style" w:hAnsi="Bookman Old Style"/>
          <w:lang w:val="uk-UA"/>
        </w:rPr>
        <w:t>п.п</w:t>
      </w:r>
      <w:proofErr w:type="spellEnd"/>
      <w:r w:rsidR="00F65E02">
        <w:rPr>
          <w:rFonts w:ascii="Bookman Old Style" w:hAnsi="Bookman Old Style"/>
          <w:lang w:val="uk-UA"/>
        </w:rPr>
        <w:t xml:space="preserve">. </w:t>
      </w:r>
      <w:r w:rsidR="000C0D1C">
        <w:rPr>
          <w:rFonts w:ascii="Bookman Old Style" w:hAnsi="Bookman Old Style"/>
          <w:lang w:val="uk-UA"/>
        </w:rPr>
        <w:t>до</w:t>
      </w:r>
      <w:r w:rsidR="00F65E02">
        <w:rPr>
          <w:rFonts w:ascii="Bookman Old Style" w:hAnsi="Bookman Old Style"/>
          <w:lang w:val="uk-UA"/>
        </w:rPr>
        <w:t xml:space="preserve"> </w:t>
      </w:r>
      <w:r w:rsidR="000C0D1C">
        <w:rPr>
          <w:rFonts w:ascii="Bookman Old Style" w:hAnsi="Bookman Old Style"/>
          <w:lang w:val="uk-UA"/>
        </w:rPr>
        <w:t>55,38</w:t>
      </w:r>
      <w:r w:rsidR="00F65E02">
        <w:rPr>
          <w:rFonts w:ascii="Bookman Old Style" w:hAnsi="Bookman Old Style"/>
          <w:lang w:val="uk-UA"/>
        </w:rPr>
        <w:t>%.</w:t>
      </w:r>
    </w:p>
    <w:p w:rsidR="00AD341C" w:rsidRPr="008F1DFB" w:rsidRDefault="00AD341C">
      <w:pPr>
        <w:jc w:val="right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lang w:val="uk-UA"/>
        </w:rPr>
        <w:t>Таблиц</w:t>
      </w:r>
      <w:r w:rsidR="008264E7" w:rsidRPr="008F1DFB">
        <w:rPr>
          <w:rFonts w:ascii="Bookman Old Style" w:hAnsi="Bookman Old Style"/>
          <w:lang w:val="uk-UA"/>
        </w:rPr>
        <w:t>я</w:t>
      </w:r>
      <w:r w:rsidRPr="008F1DFB">
        <w:rPr>
          <w:rFonts w:ascii="Bookman Old Style" w:hAnsi="Bookman Old Style"/>
          <w:lang w:val="uk-UA"/>
        </w:rPr>
        <w:t xml:space="preserve"> 1</w:t>
      </w:r>
    </w:p>
    <w:p w:rsidR="00AD341C" w:rsidRPr="008F1DFB" w:rsidRDefault="00AD341C">
      <w:pPr>
        <w:jc w:val="center"/>
        <w:rPr>
          <w:rFonts w:ascii="Bookman Old Style" w:hAnsi="Bookman Old Style"/>
          <w:b/>
          <w:lang w:val="uk-UA"/>
        </w:rPr>
      </w:pPr>
      <w:r w:rsidRPr="008F1DFB">
        <w:rPr>
          <w:rFonts w:ascii="Bookman Old Style" w:hAnsi="Bookman Old Style"/>
          <w:b/>
          <w:lang w:val="uk-UA"/>
        </w:rPr>
        <w:t>Ключ</w:t>
      </w:r>
      <w:r w:rsidR="008264E7" w:rsidRPr="008F1DFB">
        <w:rPr>
          <w:rFonts w:ascii="Bookman Old Style" w:hAnsi="Bookman Old Style"/>
          <w:b/>
          <w:lang w:val="uk-UA"/>
        </w:rPr>
        <w:t>о</w:t>
      </w:r>
      <w:r w:rsidRPr="008F1DFB">
        <w:rPr>
          <w:rFonts w:ascii="Bookman Old Style" w:hAnsi="Bookman Old Style"/>
          <w:b/>
          <w:lang w:val="uk-UA"/>
        </w:rPr>
        <w:t>в</w:t>
      </w:r>
      <w:r w:rsidR="008264E7" w:rsidRPr="008F1DFB">
        <w:rPr>
          <w:rFonts w:ascii="Bookman Old Style" w:hAnsi="Bookman Old Style"/>
          <w:b/>
          <w:lang w:val="uk-UA"/>
        </w:rPr>
        <w:t>і</w:t>
      </w:r>
      <w:r w:rsidRPr="008F1DFB">
        <w:rPr>
          <w:rFonts w:ascii="Bookman Old Style" w:hAnsi="Bookman Old Style"/>
          <w:b/>
          <w:lang w:val="uk-UA"/>
        </w:rPr>
        <w:t xml:space="preserve"> балансов</w:t>
      </w:r>
      <w:r w:rsidR="008264E7" w:rsidRPr="008F1DFB">
        <w:rPr>
          <w:rFonts w:ascii="Bookman Old Style" w:hAnsi="Bookman Old Style"/>
          <w:b/>
          <w:lang w:val="uk-UA"/>
        </w:rPr>
        <w:t>і</w:t>
      </w:r>
      <w:r w:rsidRPr="008F1DFB">
        <w:rPr>
          <w:rFonts w:ascii="Bookman Old Style" w:hAnsi="Bookman Old Style"/>
          <w:b/>
          <w:lang w:val="uk-UA"/>
        </w:rPr>
        <w:t xml:space="preserve"> показ</w:t>
      </w:r>
      <w:r w:rsidR="008264E7" w:rsidRPr="008F1DFB">
        <w:rPr>
          <w:rFonts w:ascii="Bookman Old Style" w:hAnsi="Bookman Old Style"/>
          <w:b/>
          <w:lang w:val="uk-UA"/>
        </w:rPr>
        <w:t>ник</w:t>
      </w:r>
      <w:r w:rsidRPr="008F1DFB">
        <w:rPr>
          <w:rFonts w:ascii="Bookman Old Style" w:hAnsi="Bookman Old Style"/>
          <w:b/>
          <w:lang w:val="uk-UA"/>
        </w:rPr>
        <w:t xml:space="preserve">и </w:t>
      </w:r>
    </w:p>
    <w:p w:rsidR="00035390" w:rsidRDefault="00ED75D1">
      <w:pPr>
        <w:jc w:val="center"/>
        <w:rPr>
          <w:rFonts w:ascii="Bookman Old Style" w:hAnsi="Bookman Old Style"/>
          <w:b/>
          <w:bCs/>
          <w:lang w:val="uk-UA"/>
        </w:rPr>
      </w:pPr>
      <w:r w:rsidRPr="008F1DFB">
        <w:rPr>
          <w:rFonts w:ascii="Bookman Old Style" w:hAnsi="Bookman Old Style"/>
          <w:b/>
          <w:bCs/>
          <w:lang w:val="uk-UA"/>
        </w:rPr>
        <w:t xml:space="preserve">Товариства з обмеженою відповідальністю «НОВА ПОШТА» </w:t>
      </w:r>
    </w:p>
    <w:p w:rsidR="00AD341C" w:rsidRPr="008F1DFB" w:rsidRDefault="00ED75D1">
      <w:pPr>
        <w:jc w:val="center"/>
        <w:rPr>
          <w:rFonts w:ascii="Bookman Old Style" w:hAnsi="Bookman Old Style"/>
          <w:b/>
          <w:lang w:val="uk-UA"/>
        </w:rPr>
      </w:pPr>
      <w:r w:rsidRPr="008F1DFB">
        <w:rPr>
          <w:rFonts w:ascii="Bookman Old Style" w:hAnsi="Bookman Old Style"/>
          <w:b/>
          <w:bCs/>
          <w:lang w:val="uk-UA"/>
        </w:rPr>
        <w:t xml:space="preserve">(ЄДРПОУ 31316718), </w:t>
      </w:r>
      <w:r w:rsidR="00AD341C" w:rsidRPr="008F1DFB">
        <w:rPr>
          <w:rFonts w:ascii="Bookman Old Style" w:hAnsi="Bookman Old Style"/>
          <w:b/>
          <w:lang w:val="uk-UA"/>
        </w:rPr>
        <w:t xml:space="preserve"> т</w:t>
      </w:r>
      <w:r w:rsidR="008264E7" w:rsidRPr="008F1DFB">
        <w:rPr>
          <w:rFonts w:ascii="Bookman Old Style" w:hAnsi="Bookman Old Style"/>
          <w:b/>
          <w:lang w:val="uk-UA"/>
        </w:rPr>
        <w:t>и</w:t>
      </w:r>
      <w:r w:rsidR="00AD341C" w:rsidRPr="008F1DFB">
        <w:rPr>
          <w:rFonts w:ascii="Bookman Old Style" w:hAnsi="Bookman Old Style"/>
          <w:b/>
          <w:lang w:val="uk-UA"/>
        </w:rPr>
        <w:t xml:space="preserve">с. грн., </w:t>
      </w:r>
      <w:proofErr w:type="spellStart"/>
      <w:r w:rsidR="00AD341C" w:rsidRPr="008F1DFB">
        <w:rPr>
          <w:rFonts w:ascii="Bookman Old Style" w:hAnsi="Bookman Old Style"/>
          <w:b/>
          <w:lang w:val="uk-UA"/>
        </w:rPr>
        <w:t>п.п</w:t>
      </w:r>
      <w:proofErr w:type="spellEnd"/>
      <w:r w:rsidR="00AD341C" w:rsidRPr="008F1DFB">
        <w:rPr>
          <w:rFonts w:ascii="Bookman Old Style" w:hAnsi="Bookman Old Style"/>
          <w:b/>
          <w:lang w:val="uk-UA"/>
        </w:rPr>
        <w:t>., %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062"/>
        <w:gridCol w:w="1254"/>
        <w:gridCol w:w="1254"/>
        <w:gridCol w:w="1319"/>
        <w:gridCol w:w="1434"/>
      </w:tblGrid>
      <w:tr w:rsidR="00AD341C" w:rsidRPr="008F1DFB" w:rsidTr="00FE4CD8">
        <w:trPr>
          <w:trHeight w:val="77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AD341C" w:rsidRPr="008F1DFB" w:rsidRDefault="00AD341C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#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AD341C" w:rsidRPr="008F1DFB" w:rsidRDefault="00AD341C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Показ</w:t>
            </w:r>
            <w:r w:rsidR="008264E7"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ник</w:t>
            </w: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341C" w:rsidRPr="008F1DFB" w:rsidRDefault="00E3614E">
            <w:pPr>
              <w:snapToGrid w:val="0"/>
              <w:jc w:val="center"/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01/</w:t>
            </w:r>
            <w:r w:rsidR="00E0439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10</w:t>
            </w: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/20</w:t>
            </w:r>
            <w:r w:rsidR="001F023B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341C" w:rsidRPr="008F1DFB" w:rsidRDefault="00E3614E">
            <w:pPr>
              <w:snapToGrid w:val="0"/>
              <w:jc w:val="center"/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01/01/20</w:t>
            </w:r>
            <w:r w:rsidR="00035390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D341C" w:rsidRPr="008F1DFB" w:rsidRDefault="008264E7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Зміна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D341C" w:rsidRPr="008F1DFB" w:rsidRDefault="00AD341C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Темп прирост</w:t>
            </w:r>
            <w:r w:rsidR="008264E7"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у</w:t>
            </w: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, 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1</w:t>
            </w:r>
          </w:p>
        </w:tc>
        <w:tc>
          <w:tcPr>
            <w:tcW w:w="4062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Активи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6 121 036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5 168 079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952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18,44%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Основні засоби за залишковою вартістю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en-US"/>
              </w:rPr>
              <w:t>2 584 079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2 108 977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475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22,53%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062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Грошові кошти та їх еквіваленти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729 579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921 223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-191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-20,80%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4062" w:type="dxa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Дебіторська заборгованість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1 449 1</w:t>
            </w:r>
            <w:r w:rsidR="00732AE2"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256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192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29</w:t>
            </w:r>
            <w:r w:rsidR="00732AE2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15,30%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4062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Кредиторська заборгованість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3 510 515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>
              <w:rPr>
                <w:rFonts w:ascii="Bookman Old Style" w:hAnsi="Bookman Old Style" w:cs="Calibr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sz w:val="18"/>
                <w:szCs w:val="18"/>
              </w:rPr>
              <w:t>454</w:t>
            </w:r>
            <w:r>
              <w:rPr>
                <w:rFonts w:ascii="Bookman Old Style" w:hAnsi="Bookman Old Style" w:cs="Calibr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sz w:val="18"/>
                <w:szCs w:val="18"/>
              </w:rPr>
              <w:t>347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56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1,63%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Співвідношення між дебіторською та кредиторською заборгованістю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41,28%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36,38%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445894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4,90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7</w:t>
            </w:r>
          </w:p>
        </w:tc>
        <w:tc>
          <w:tcPr>
            <w:tcW w:w="4062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en-US"/>
              </w:rPr>
              <w:t>2 181 663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1 271 410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910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71,59%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Зобов’язання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939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896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42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1,10%</w:t>
            </w:r>
          </w:p>
        </w:tc>
      </w:tr>
      <w:tr w:rsidR="00445894" w:rsidRPr="008F1DFB" w:rsidTr="00B26C1D">
        <w:trPr>
          <w:trHeight w:val="55"/>
          <w:jc w:val="center"/>
        </w:trPr>
        <w:tc>
          <w:tcPr>
            <w:tcW w:w="236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4062" w:type="dxa"/>
            <w:shd w:val="clear" w:color="auto" w:fill="9999FF"/>
            <w:vAlign w:val="center"/>
          </w:tcPr>
          <w:p w:rsidR="00445894" w:rsidRPr="008F1DFB" w:rsidRDefault="00445894" w:rsidP="0044589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uk-UA"/>
              </w:rPr>
              <w:t>Співвідношення між власним капіталом та зобов’язаннями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55,38%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32,63%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445894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22,75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445894" w:rsidRPr="00DB7348" w:rsidRDefault="00445894" w:rsidP="00445894">
            <w:pPr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D341C" w:rsidRPr="008F1DFB" w:rsidRDefault="00AD341C">
      <w:pPr>
        <w:jc w:val="both"/>
        <w:rPr>
          <w:rFonts w:ascii="Bookman Old Style" w:hAnsi="Bookman Old Style"/>
          <w:sz w:val="20"/>
          <w:szCs w:val="20"/>
          <w:shd w:val="clear" w:color="auto" w:fill="FFFF00"/>
          <w:lang w:val="uk-UA"/>
        </w:rPr>
      </w:pPr>
    </w:p>
    <w:p w:rsidR="00AD341C" w:rsidRPr="008F1DFB" w:rsidRDefault="00AD341C">
      <w:pPr>
        <w:ind w:firstLine="709"/>
        <w:jc w:val="both"/>
        <w:rPr>
          <w:rFonts w:ascii="Bookman Old Style" w:hAnsi="Bookman Old Style"/>
          <w:sz w:val="20"/>
          <w:szCs w:val="20"/>
          <w:shd w:val="clear" w:color="auto" w:fill="FFFF00"/>
          <w:lang w:val="uk-UA"/>
        </w:rPr>
      </w:pPr>
    </w:p>
    <w:p w:rsidR="001F7C34" w:rsidRDefault="00AD341C" w:rsidP="00A56E51">
      <w:pPr>
        <w:shd w:val="clear" w:color="auto" w:fill="FFFFFF"/>
        <w:ind w:firstLine="851"/>
        <w:jc w:val="both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lang w:val="uk-UA"/>
        </w:rPr>
        <w:lastRenderedPageBreak/>
        <w:t xml:space="preserve">2. </w:t>
      </w:r>
      <w:r w:rsidR="008B365C">
        <w:rPr>
          <w:rFonts w:ascii="Bookman Old Style" w:hAnsi="Bookman Old Style"/>
          <w:lang w:val="uk-UA"/>
        </w:rPr>
        <w:t>З</w:t>
      </w:r>
      <w:r w:rsidR="008B365C" w:rsidRPr="008B365C">
        <w:rPr>
          <w:rFonts w:ascii="Bookman Old Style" w:hAnsi="Bookman Old Style"/>
          <w:lang w:val="uk-UA"/>
        </w:rPr>
        <w:t xml:space="preserve">а період з 01.01.2020 по 01.10.2020 р. </w:t>
      </w:r>
      <w:r w:rsidR="00F65E02">
        <w:rPr>
          <w:rFonts w:ascii="Bookman Old Style" w:hAnsi="Bookman Old Style"/>
          <w:lang w:val="uk-UA"/>
        </w:rPr>
        <w:t xml:space="preserve">обсяги </w:t>
      </w:r>
      <w:r w:rsidR="00D34583" w:rsidRPr="008F1DFB">
        <w:rPr>
          <w:rFonts w:ascii="Bookman Old Style" w:hAnsi="Bookman Old Style"/>
          <w:lang w:val="uk-UA"/>
        </w:rPr>
        <w:t>д</w:t>
      </w:r>
      <w:r w:rsidR="00653C86" w:rsidRPr="008F1DFB">
        <w:rPr>
          <w:rFonts w:ascii="Bookman Old Style" w:hAnsi="Bookman Old Style"/>
          <w:lang w:val="uk-UA"/>
        </w:rPr>
        <w:t>ебіторськ</w:t>
      </w:r>
      <w:r w:rsidR="00F65E02">
        <w:rPr>
          <w:rFonts w:ascii="Bookman Old Style" w:hAnsi="Bookman Old Style"/>
          <w:lang w:val="uk-UA"/>
        </w:rPr>
        <w:t>ої</w:t>
      </w:r>
      <w:r w:rsidR="00D34583" w:rsidRPr="008F1DFB">
        <w:rPr>
          <w:rFonts w:ascii="Bookman Old Style" w:hAnsi="Bookman Old Style"/>
          <w:lang w:val="uk-UA"/>
        </w:rPr>
        <w:t xml:space="preserve"> та </w:t>
      </w:r>
      <w:r w:rsidR="00D34583" w:rsidRPr="008B365C">
        <w:rPr>
          <w:rFonts w:ascii="Bookman Old Style" w:hAnsi="Bookman Old Style"/>
          <w:lang w:val="uk-UA"/>
        </w:rPr>
        <w:t>кредиторськ</w:t>
      </w:r>
      <w:r w:rsidR="00F65E02" w:rsidRPr="008B365C">
        <w:rPr>
          <w:rFonts w:ascii="Bookman Old Style" w:hAnsi="Bookman Old Style"/>
          <w:lang w:val="uk-UA"/>
        </w:rPr>
        <w:t>ої</w:t>
      </w:r>
      <w:r w:rsidR="00653C86" w:rsidRPr="008B365C">
        <w:rPr>
          <w:rFonts w:ascii="Bookman Old Style" w:hAnsi="Bookman Old Style"/>
          <w:lang w:val="uk-UA"/>
        </w:rPr>
        <w:t xml:space="preserve"> заборгован</w:t>
      </w:r>
      <w:r w:rsidR="00D34583" w:rsidRPr="008B365C">
        <w:rPr>
          <w:rFonts w:ascii="Bookman Old Style" w:hAnsi="Bookman Old Style"/>
          <w:lang w:val="uk-UA"/>
        </w:rPr>
        <w:t>о</w:t>
      </w:r>
      <w:r w:rsidR="00653C86" w:rsidRPr="008B365C">
        <w:rPr>
          <w:rFonts w:ascii="Bookman Old Style" w:hAnsi="Bookman Old Style"/>
          <w:lang w:val="uk-UA"/>
        </w:rPr>
        <w:t>ст</w:t>
      </w:r>
      <w:r w:rsidR="00D34583" w:rsidRPr="008B365C">
        <w:rPr>
          <w:rFonts w:ascii="Bookman Old Style" w:hAnsi="Bookman Old Style"/>
          <w:lang w:val="uk-UA"/>
        </w:rPr>
        <w:t>і</w:t>
      </w:r>
      <w:r w:rsidR="00653C86" w:rsidRPr="008B365C">
        <w:rPr>
          <w:rFonts w:ascii="Bookman Old Style" w:hAnsi="Bookman Old Style"/>
          <w:lang w:val="uk-UA"/>
        </w:rPr>
        <w:t xml:space="preserve"> </w:t>
      </w:r>
      <w:r w:rsidR="00ED75D1" w:rsidRPr="008B365C">
        <w:rPr>
          <w:rFonts w:ascii="Bookman Old Style" w:hAnsi="Bookman Old Style"/>
          <w:lang w:val="uk-UA"/>
        </w:rPr>
        <w:t xml:space="preserve">ТОВ «НОВА ПОШТА» </w:t>
      </w:r>
      <w:r w:rsidR="00A56E51" w:rsidRPr="008B365C">
        <w:rPr>
          <w:rFonts w:ascii="Bookman Old Style" w:hAnsi="Bookman Old Style"/>
          <w:lang w:val="uk-UA"/>
        </w:rPr>
        <w:t xml:space="preserve">виросли на </w:t>
      </w:r>
      <w:r w:rsidR="00F65E02" w:rsidRPr="008B365C">
        <w:rPr>
          <w:rFonts w:ascii="Bookman Old Style" w:hAnsi="Bookman Old Style"/>
          <w:lang w:val="uk-UA"/>
        </w:rPr>
        <w:t>1</w:t>
      </w:r>
      <w:r w:rsidR="008B365C">
        <w:rPr>
          <w:rFonts w:ascii="Bookman Old Style" w:hAnsi="Bookman Old Style"/>
          <w:lang w:val="uk-UA"/>
        </w:rPr>
        <w:t>5,30</w:t>
      </w:r>
      <w:r w:rsidR="00A56E51" w:rsidRPr="008B365C">
        <w:rPr>
          <w:rFonts w:ascii="Bookman Old Style" w:hAnsi="Bookman Old Style"/>
          <w:lang w:val="uk-UA"/>
        </w:rPr>
        <w:t>% та</w:t>
      </w:r>
      <w:r w:rsidR="00A56E51">
        <w:rPr>
          <w:rFonts w:ascii="Bookman Old Style" w:hAnsi="Bookman Old Style"/>
          <w:lang w:val="uk-UA"/>
        </w:rPr>
        <w:t xml:space="preserve"> </w:t>
      </w:r>
      <w:r w:rsidR="008B365C">
        <w:rPr>
          <w:rFonts w:ascii="Bookman Old Style" w:hAnsi="Bookman Old Style"/>
          <w:lang w:val="uk-UA"/>
        </w:rPr>
        <w:t xml:space="preserve">на </w:t>
      </w:r>
      <w:r w:rsidR="00F65E02">
        <w:rPr>
          <w:rFonts w:ascii="Bookman Old Style" w:hAnsi="Bookman Old Style"/>
          <w:lang w:val="uk-UA"/>
        </w:rPr>
        <w:t>1</w:t>
      </w:r>
      <w:r w:rsidR="008B365C">
        <w:rPr>
          <w:rFonts w:ascii="Bookman Old Style" w:hAnsi="Bookman Old Style"/>
          <w:lang w:val="uk-UA"/>
        </w:rPr>
        <w:t>,63</w:t>
      </w:r>
      <w:r w:rsidR="00A56E51">
        <w:rPr>
          <w:rFonts w:ascii="Bookman Old Style" w:hAnsi="Bookman Old Style"/>
          <w:lang w:val="uk-UA"/>
        </w:rPr>
        <w:t xml:space="preserve">% відповідно. </w:t>
      </w:r>
      <w:r w:rsidR="008B365C">
        <w:rPr>
          <w:rFonts w:ascii="Bookman Old Style" w:hAnsi="Bookman Old Style"/>
          <w:lang w:val="uk-UA"/>
        </w:rPr>
        <w:t>С</w:t>
      </w:r>
      <w:r w:rsidR="00D86011">
        <w:rPr>
          <w:rFonts w:ascii="Bookman Old Style" w:hAnsi="Bookman Old Style"/>
          <w:lang w:val="uk-UA"/>
        </w:rPr>
        <w:t xml:space="preserve">піввідношення між </w:t>
      </w:r>
      <w:r w:rsidR="00F65E02">
        <w:rPr>
          <w:rFonts w:ascii="Bookman Old Style" w:hAnsi="Bookman Old Style"/>
          <w:lang w:val="uk-UA"/>
        </w:rPr>
        <w:t>даними видами заборгованості в</w:t>
      </w:r>
      <w:r w:rsidR="00D86011">
        <w:rPr>
          <w:rFonts w:ascii="Bookman Old Style" w:hAnsi="Bookman Old Style"/>
          <w:lang w:val="uk-UA"/>
        </w:rPr>
        <w:t xml:space="preserve"> </w:t>
      </w:r>
      <w:r w:rsidR="00FE5403">
        <w:rPr>
          <w:rFonts w:ascii="Bookman Old Style" w:hAnsi="Bookman Old Style"/>
          <w:lang w:val="uk-UA"/>
        </w:rPr>
        <w:t>Компанії</w:t>
      </w:r>
      <w:r w:rsidR="00D86011">
        <w:rPr>
          <w:rFonts w:ascii="Bookman Old Style" w:hAnsi="Bookman Old Style"/>
          <w:lang w:val="uk-UA"/>
        </w:rPr>
        <w:t xml:space="preserve"> </w:t>
      </w:r>
      <w:r w:rsidR="00F65E02">
        <w:rPr>
          <w:rFonts w:ascii="Bookman Old Style" w:hAnsi="Bookman Old Style"/>
          <w:lang w:val="uk-UA"/>
        </w:rPr>
        <w:t>виросло</w:t>
      </w:r>
      <w:r w:rsidR="00D86011">
        <w:rPr>
          <w:rFonts w:ascii="Bookman Old Style" w:hAnsi="Bookman Old Style"/>
          <w:lang w:val="uk-UA"/>
        </w:rPr>
        <w:t xml:space="preserve"> на </w:t>
      </w:r>
      <w:r w:rsidR="008B365C">
        <w:rPr>
          <w:rFonts w:ascii="Bookman Old Style" w:hAnsi="Bookman Old Style"/>
          <w:lang w:val="uk-UA"/>
        </w:rPr>
        <w:t>4,90</w:t>
      </w:r>
      <w:r w:rsidR="00D86011">
        <w:rPr>
          <w:rFonts w:ascii="Bookman Old Style" w:hAnsi="Bookman Old Style"/>
          <w:lang w:val="uk-UA"/>
        </w:rPr>
        <w:t xml:space="preserve"> </w:t>
      </w:r>
      <w:proofErr w:type="spellStart"/>
      <w:r w:rsidR="00D86011">
        <w:rPr>
          <w:rFonts w:ascii="Bookman Old Style" w:hAnsi="Bookman Old Style"/>
          <w:lang w:val="uk-UA"/>
        </w:rPr>
        <w:t>п.п</w:t>
      </w:r>
      <w:proofErr w:type="spellEnd"/>
      <w:r w:rsidR="00D86011">
        <w:rPr>
          <w:rFonts w:ascii="Bookman Old Style" w:hAnsi="Bookman Old Style"/>
          <w:lang w:val="uk-UA"/>
        </w:rPr>
        <w:t xml:space="preserve">. </w:t>
      </w:r>
      <w:r w:rsidR="00F65E02">
        <w:rPr>
          <w:rFonts w:ascii="Bookman Old Style" w:hAnsi="Bookman Old Style"/>
          <w:lang w:val="uk-UA"/>
        </w:rPr>
        <w:t xml:space="preserve">до </w:t>
      </w:r>
      <w:r w:rsidR="008B365C">
        <w:rPr>
          <w:rFonts w:ascii="Bookman Old Style" w:hAnsi="Bookman Old Style"/>
          <w:lang w:val="uk-UA"/>
        </w:rPr>
        <w:t>41,28</w:t>
      </w:r>
      <w:r w:rsidR="00D86011">
        <w:rPr>
          <w:rFonts w:ascii="Bookman Old Style" w:hAnsi="Bookman Old Style"/>
          <w:lang w:val="uk-UA"/>
        </w:rPr>
        <w:t>%</w:t>
      </w:r>
      <w:r w:rsidR="00FE5403">
        <w:rPr>
          <w:rFonts w:ascii="Bookman Old Style" w:hAnsi="Bookman Old Style"/>
          <w:lang w:val="uk-UA"/>
        </w:rPr>
        <w:t xml:space="preserve">. </w:t>
      </w:r>
      <w:r w:rsidR="008B365C">
        <w:rPr>
          <w:rFonts w:ascii="Bookman Old Style" w:hAnsi="Bookman Old Style"/>
          <w:lang w:val="uk-UA"/>
        </w:rPr>
        <w:t xml:space="preserve">Істотні обсяги </w:t>
      </w:r>
      <w:r w:rsidR="00FE5403">
        <w:rPr>
          <w:rFonts w:ascii="Bookman Old Style" w:hAnsi="Bookman Old Style"/>
          <w:lang w:val="uk-UA"/>
        </w:rPr>
        <w:t xml:space="preserve">кредиторської заборгованості </w:t>
      </w:r>
      <w:r w:rsidR="00CF70DB">
        <w:rPr>
          <w:rFonts w:ascii="Bookman Old Style" w:hAnsi="Bookman Old Style"/>
          <w:lang w:val="uk-UA"/>
        </w:rPr>
        <w:t>збільшу</w:t>
      </w:r>
      <w:r w:rsidR="008B365C">
        <w:rPr>
          <w:rFonts w:ascii="Bookman Old Style" w:hAnsi="Bookman Old Style"/>
          <w:lang w:val="uk-UA"/>
        </w:rPr>
        <w:t>ють</w:t>
      </w:r>
      <w:r w:rsidR="00CF70DB">
        <w:rPr>
          <w:rFonts w:ascii="Bookman Old Style" w:hAnsi="Bookman Old Style"/>
          <w:lang w:val="uk-UA"/>
        </w:rPr>
        <w:t xml:space="preserve"> фінансові ризики</w:t>
      </w:r>
      <w:r w:rsidR="00FE5403">
        <w:rPr>
          <w:rFonts w:ascii="Bookman Old Style" w:hAnsi="Bookman Old Style"/>
          <w:lang w:val="uk-UA"/>
        </w:rPr>
        <w:t xml:space="preserve"> Компанії</w:t>
      </w:r>
      <w:r w:rsidR="00D86011" w:rsidRPr="00D86011">
        <w:rPr>
          <w:rFonts w:ascii="Bookman Old Style" w:hAnsi="Bookman Old Style"/>
          <w:lang w:val="uk-UA"/>
        </w:rPr>
        <w:t>.</w:t>
      </w:r>
    </w:p>
    <w:p w:rsidR="00AD341C" w:rsidRDefault="00C84C16" w:rsidP="00646C46">
      <w:pPr>
        <w:shd w:val="clear" w:color="auto" w:fill="FFFFFF"/>
        <w:ind w:firstLine="851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Агентство нагадує, що </w:t>
      </w:r>
      <w:r w:rsidR="00646C46" w:rsidRPr="00646C46">
        <w:rPr>
          <w:rFonts w:ascii="Bookman Old Style" w:hAnsi="Bookman Old Style"/>
          <w:lang w:val="uk-UA"/>
        </w:rPr>
        <w:t>7 травня 2020 року</w:t>
      </w:r>
      <w:r w:rsidR="00646C46" w:rsidRPr="007E3A1A">
        <w:rPr>
          <w:lang w:val="uk-UA"/>
        </w:rPr>
        <w:t xml:space="preserve"> </w:t>
      </w:r>
      <w:r w:rsidR="00646C46" w:rsidRPr="00646C46">
        <w:rPr>
          <w:rFonts w:ascii="Bookman Old Style" w:hAnsi="Bookman Old Style"/>
          <w:lang w:val="uk-UA"/>
        </w:rPr>
        <w:t>НКЦПФР</w:t>
      </w:r>
      <w:r w:rsidR="00646C46">
        <w:rPr>
          <w:rFonts w:ascii="Bookman Old Style" w:hAnsi="Bookman Old Style"/>
          <w:lang w:val="uk-UA"/>
        </w:rPr>
        <w:t xml:space="preserve"> зареєструвала </w:t>
      </w:r>
      <w:r w:rsidR="00646C46" w:rsidRPr="00646C46">
        <w:rPr>
          <w:rFonts w:ascii="Bookman Old Style" w:hAnsi="Bookman Old Style"/>
          <w:lang w:val="uk-UA"/>
        </w:rPr>
        <w:t>випуск облігацій</w:t>
      </w:r>
      <w:r w:rsidR="00646C46" w:rsidRPr="007E3A1A">
        <w:rPr>
          <w:lang w:val="uk-UA"/>
        </w:rPr>
        <w:t xml:space="preserve"> </w:t>
      </w:r>
      <w:r w:rsidR="00646C46" w:rsidRPr="00646C46">
        <w:rPr>
          <w:rFonts w:ascii="Bookman Old Style" w:hAnsi="Bookman Old Style"/>
          <w:lang w:val="uk-UA"/>
        </w:rPr>
        <w:t>серії «В»</w:t>
      </w:r>
      <w:r w:rsidR="00646C46" w:rsidRPr="007E3A1A">
        <w:rPr>
          <w:lang w:val="uk-UA"/>
        </w:rPr>
        <w:t xml:space="preserve"> </w:t>
      </w:r>
      <w:r w:rsidR="00646C46" w:rsidRPr="00646C46">
        <w:rPr>
          <w:rFonts w:ascii="Bookman Old Style" w:hAnsi="Bookman Old Style"/>
          <w:lang w:val="uk-UA"/>
        </w:rPr>
        <w:t>ТОВ «НОВА ПОШТА»</w:t>
      </w:r>
      <w:r w:rsidR="00646C46">
        <w:rPr>
          <w:rFonts w:ascii="Bookman Old Style" w:hAnsi="Bookman Old Style"/>
          <w:lang w:val="uk-UA"/>
        </w:rPr>
        <w:t xml:space="preserve"> </w:t>
      </w:r>
      <w:r w:rsidR="00FE5403" w:rsidRPr="001F7C34">
        <w:rPr>
          <w:rFonts w:ascii="Bookman Old Style" w:hAnsi="Bookman Old Style"/>
          <w:lang w:val="uk-UA"/>
        </w:rPr>
        <w:t xml:space="preserve">обсягом 700 млн. грн., під 16% річних, </w:t>
      </w:r>
      <w:r w:rsidR="001F7C34" w:rsidRPr="001F7C34">
        <w:rPr>
          <w:rFonts w:ascii="Bookman Old Style" w:hAnsi="Bookman Old Style"/>
          <w:lang w:val="uk-UA"/>
        </w:rPr>
        <w:t>кошти від якого</w:t>
      </w:r>
      <w:r w:rsidR="00FE5403" w:rsidRPr="001F7C34">
        <w:rPr>
          <w:rFonts w:ascii="Bookman Old Style" w:hAnsi="Bookman Old Style"/>
          <w:lang w:val="uk-UA"/>
        </w:rPr>
        <w:t xml:space="preserve"> планується спрямувати на </w:t>
      </w:r>
      <w:r w:rsidR="001F7C34" w:rsidRPr="001F7C34">
        <w:rPr>
          <w:rFonts w:ascii="Bookman Old Style" w:hAnsi="Bookman Old Style"/>
          <w:lang w:val="uk-UA"/>
        </w:rPr>
        <w:t>будівництво та автоматизацію логістичних центрів</w:t>
      </w:r>
      <w:r w:rsidR="00FE5403" w:rsidRPr="001F7C34">
        <w:rPr>
          <w:rFonts w:ascii="Bookman Old Style" w:hAnsi="Bookman Old Style"/>
          <w:lang w:val="uk-UA"/>
        </w:rPr>
        <w:t xml:space="preserve"> Компанії.</w:t>
      </w:r>
      <w:r w:rsidR="001F7C34" w:rsidRPr="001F7C34">
        <w:rPr>
          <w:rFonts w:ascii="Bookman Old Style" w:hAnsi="Bookman Old Style"/>
          <w:lang w:val="uk-UA"/>
        </w:rPr>
        <w:t xml:space="preserve"> Термін обігу облігацій</w:t>
      </w:r>
      <w:r w:rsidR="001F7C34" w:rsidRPr="007E3A1A">
        <w:rPr>
          <w:lang w:val="uk-UA"/>
        </w:rPr>
        <w:t xml:space="preserve"> </w:t>
      </w:r>
      <w:bookmarkStart w:id="3" w:name="_Hlk50331278"/>
      <w:r w:rsidR="001F7C34" w:rsidRPr="001F7C34">
        <w:rPr>
          <w:rFonts w:ascii="Bookman Old Style" w:hAnsi="Bookman Old Style"/>
          <w:lang w:val="uk-UA"/>
        </w:rPr>
        <w:t xml:space="preserve">серії «В» </w:t>
      </w:r>
      <w:bookmarkEnd w:id="3"/>
      <w:r w:rsidR="001F7C34" w:rsidRPr="001F7C34">
        <w:rPr>
          <w:rFonts w:ascii="Bookman Old Style" w:hAnsi="Bookman Old Style"/>
          <w:lang w:val="uk-UA"/>
        </w:rPr>
        <w:t>- по 16.02.2023 р. включно.</w:t>
      </w:r>
    </w:p>
    <w:p w:rsidR="00646C46" w:rsidRPr="008F1DFB" w:rsidRDefault="00646C46" w:rsidP="00646C46">
      <w:pPr>
        <w:shd w:val="clear" w:color="auto" w:fill="FFFFFF"/>
        <w:ind w:firstLine="851"/>
        <w:jc w:val="both"/>
        <w:rPr>
          <w:rFonts w:ascii="Bookman Old Style" w:hAnsi="Bookman Old Style"/>
          <w:lang w:val="uk-UA"/>
        </w:rPr>
      </w:pPr>
      <w:r w:rsidRPr="00CF30BB">
        <w:rPr>
          <w:rFonts w:ascii="Bookman Old Style" w:hAnsi="Bookman Old Style"/>
          <w:lang w:val="uk-UA"/>
        </w:rPr>
        <w:t xml:space="preserve">Також Агентство </w:t>
      </w:r>
      <w:r w:rsidR="008B365C">
        <w:rPr>
          <w:rFonts w:ascii="Bookman Old Style" w:hAnsi="Bookman Old Style"/>
          <w:lang w:val="uk-UA"/>
        </w:rPr>
        <w:t>нагадує</w:t>
      </w:r>
      <w:r w:rsidRPr="00CF30BB">
        <w:rPr>
          <w:rFonts w:ascii="Bookman Old Style" w:hAnsi="Bookman Old Style"/>
          <w:lang w:val="uk-UA"/>
        </w:rPr>
        <w:t>, що в серпні 2020 року ТОВ «НОВА ПОШТА»</w:t>
      </w:r>
      <w:r>
        <w:rPr>
          <w:rFonts w:ascii="Bookman Old Style" w:hAnsi="Bookman Old Style"/>
          <w:lang w:val="uk-UA"/>
        </w:rPr>
        <w:t xml:space="preserve"> успішно погасила випуск облігацій серії «А», розміщення яких відбулось </w:t>
      </w:r>
      <w:r w:rsidRPr="00646C46">
        <w:rPr>
          <w:rFonts w:ascii="Bookman Old Style" w:hAnsi="Bookman Old Style"/>
          <w:lang w:val="uk-UA"/>
        </w:rPr>
        <w:t>в лютому-квітні 2019 року</w:t>
      </w:r>
      <w:r w:rsidR="00CF30BB">
        <w:rPr>
          <w:rFonts w:ascii="Bookman Old Style" w:hAnsi="Bookman Old Style"/>
          <w:lang w:val="uk-UA"/>
        </w:rPr>
        <w:t>.</w:t>
      </w:r>
    </w:p>
    <w:p w:rsidR="00AD341C" w:rsidRPr="008F1DFB" w:rsidRDefault="00AD341C">
      <w:pPr>
        <w:ind w:firstLine="709"/>
        <w:jc w:val="right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lang w:val="uk-UA"/>
        </w:rPr>
        <w:t>Таблиц</w:t>
      </w:r>
      <w:r w:rsidR="00653C86" w:rsidRPr="008F1DFB">
        <w:rPr>
          <w:rFonts w:ascii="Bookman Old Style" w:hAnsi="Bookman Old Style"/>
          <w:lang w:val="uk-UA"/>
        </w:rPr>
        <w:t>я</w:t>
      </w:r>
      <w:r w:rsidRPr="008F1DFB">
        <w:rPr>
          <w:rFonts w:ascii="Bookman Old Style" w:hAnsi="Bookman Old Style"/>
          <w:lang w:val="uk-UA"/>
        </w:rPr>
        <w:t xml:space="preserve"> 2</w:t>
      </w:r>
    </w:p>
    <w:p w:rsidR="00AD341C" w:rsidRPr="008F1DFB" w:rsidRDefault="00AD341C">
      <w:pPr>
        <w:jc w:val="center"/>
        <w:rPr>
          <w:rFonts w:ascii="Bookman Old Style" w:hAnsi="Bookman Old Style"/>
          <w:b/>
          <w:lang w:val="uk-UA"/>
        </w:rPr>
      </w:pPr>
      <w:r w:rsidRPr="008F1DFB">
        <w:rPr>
          <w:rFonts w:ascii="Bookman Old Style" w:hAnsi="Bookman Old Style"/>
          <w:b/>
          <w:lang w:val="uk-UA"/>
        </w:rPr>
        <w:t>Ф</w:t>
      </w:r>
      <w:r w:rsidR="00653C86" w:rsidRPr="008F1DFB">
        <w:rPr>
          <w:rFonts w:ascii="Bookman Old Style" w:hAnsi="Bookman Old Style"/>
          <w:b/>
          <w:lang w:val="uk-UA"/>
        </w:rPr>
        <w:t>і</w:t>
      </w:r>
      <w:r w:rsidRPr="008F1DFB">
        <w:rPr>
          <w:rFonts w:ascii="Bookman Old Style" w:hAnsi="Bookman Old Style"/>
          <w:b/>
          <w:lang w:val="uk-UA"/>
        </w:rPr>
        <w:t>нансов</w:t>
      </w:r>
      <w:r w:rsidR="00653C86" w:rsidRPr="008F1DFB">
        <w:rPr>
          <w:rFonts w:ascii="Bookman Old Style" w:hAnsi="Bookman Old Style"/>
          <w:b/>
          <w:lang w:val="uk-UA"/>
        </w:rPr>
        <w:t>і</w:t>
      </w:r>
      <w:r w:rsidRPr="008F1DFB">
        <w:rPr>
          <w:rFonts w:ascii="Bookman Old Style" w:hAnsi="Bookman Old Style"/>
          <w:b/>
          <w:lang w:val="uk-UA"/>
        </w:rPr>
        <w:t xml:space="preserve"> результат</w:t>
      </w:r>
      <w:r w:rsidR="00653C86" w:rsidRPr="008F1DFB">
        <w:rPr>
          <w:rFonts w:ascii="Bookman Old Style" w:hAnsi="Bookman Old Style"/>
          <w:b/>
          <w:lang w:val="uk-UA"/>
        </w:rPr>
        <w:t>и</w:t>
      </w:r>
      <w:r w:rsidRPr="008F1DFB">
        <w:rPr>
          <w:rFonts w:ascii="Bookman Old Style" w:hAnsi="Bookman Old Style"/>
          <w:b/>
          <w:lang w:val="uk-UA"/>
        </w:rPr>
        <w:t xml:space="preserve"> </w:t>
      </w:r>
      <w:r w:rsidR="00653C86" w:rsidRPr="008F1DFB">
        <w:rPr>
          <w:rFonts w:ascii="Bookman Old Style" w:hAnsi="Bookman Old Style"/>
          <w:b/>
          <w:lang w:val="uk-UA"/>
        </w:rPr>
        <w:t>і</w:t>
      </w:r>
      <w:r w:rsidRPr="008F1DFB">
        <w:rPr>
          <w:rFonts w:ascii="Bookman Old Style" w:hAnsi="Bookman Old Style"/>
          <w:b/>
          <w:lang w:val="uk-UA"/>
        </w:rPr>
        <w:t xml:space="preserve"> показ</w:t>
      </w:r>
      <w:r w:rsidR="00653C86" w:rsidRPr="008F1DFB">
        <w:rPr>
          <w:rFonts w:ascii="Bookman Old Style" w:hAnsi="Bookman Old Style"/>
          <w:b/>
          <w:lang w:val="uk-UA"/>
        </w:rPr>
        <w:t>ник</w:t>
      </w:r>
      <w:r w:rsidRPr="008F1DFB">
        <w:rPr>
          <w:rFonts w:ascii="Bookman Old Style" w:hAnsi="Bookman Old Style"/>
          <w:b/>
          <w:lang w:val="uk-UA"/>
        </w:rPr>
        <w:t xml:space="preserve">и </w:t>
      </w:r>
      <w:r w:rsidR="00653C86" w:rsidRPr="008F1DFB">
        <w:rPr>
          <w:rFonts w:ascii="Bookman Old Style" w:hAnsi="Bookman Old Style"/>
          <w:b/>
          <w:lang w:val="uk-UA"/>
        </w:rPr>
        <w:t>е</w:t>
      </w:r>
      <w:r w:rsidRPr="008F1DFB">
        <w:rPr>
          <w:rFonts w:ascii="Bookman Old Style" w:hAnsi="Bookman Old Style"/>
          <w:b/>
          <w:lang w:val="uk-UA"/>
        </w:rPr>
        <w:t>фективност</w:t>
      </w:r>
      <w:r w:rsidR="00653C86" w:rsidRPr="008F1DFB">
        <w:rPr>
          <w:rFonts w:ascii="Bookman Old Style" w:hAnsi="Bookman Old Style"/>
          <w:b/>
          <w:lang w:val="uk-UA"/>
        </w:rPr>
        <w:t>і</w:t>
      </w:r>
      <w:r w:rsidRPr="008F1DFB">
        <w:rPr>
          <w:rFonts w:ascii="Bookman Old Style" w:hAnsi="Bookman Old Style"/>
          <w:b/>
          <w:lang w:val="uk-UA"/>
        </w:rPr>
        <w:t xml:space="preserve"> р</w:t>
      </w:r>
      <w:r w:rsidR="00653C86" w:rsidRPr="008F1DFB">
        <w:rPr>
          <w:rFonts w:ascii="Bookman Old Style" w:hAnsi="Bookman Old Style"/>
          <w:b/>
          <w:lang w:val="uk-UA"/>
        </w:rPr>
        <w:t>о</w:t>
      </w:r>
      <w:r w:rsidRPr="008F1DFB">
        <w:rPr>
          <w:rFonts w:ascii="Bookman Old Style" w:hAnsi="Bookman Old Style"/>
          <w:b/>
          <w:lang w:val="uk-UA"/>
        </w:rPr>
        <w:t>бот</w:t>
      </w:r>
      <w:r w:rsidR="00653C86" w:rsidRPr="008F1DFB">
        <w:rPr>
          <w:rFonts w:ascii="Bookman Old Style" w:hAnsi="Bookman Old Style"/>
          <w:b/>
          <w:lang w:val="uk-UA"/>
        </w:rPr>
        <w:t>и</w:t>
      </w:r>
    </w:p>
    <w:p w:rsidR="00035390" w:rsidRDefault="00ED75D1">
      <w:pPr>
        <w:jc w:val="center"/>
        <w:rPr>
          <w:rFonts w:ascii="Bookman Old Style" w:hAnsi="Bookman Old Style"/>
          <w:b/>
          <w:bCs/>
          <w:lang w:val="uk-UA"/>
        </w:rPr>
      </w:pPr>
      <w:r w:rsidRPr="008F1DFB">
        <w:rPr>
          <w:rFonts w:ascii="Bookman Old Style" w:hAnsi="Bookman Old Style"/>
          <w:b/>
          <w:bCs/>
          <w:lang w:val="uk-UA"/>
        </w:rPr>
        <w:t>Товариства з обмеженою відповідальністю «НОВА ПОШТА»</w:t>
      </w:r>
    </w:p>
    <w:p w:rsidR="00AD341C" w:rsidRPr="008F1DFB" w:rsidRDefault="00ED75D1">
      <w:pPr>
        <w:jc w:val="center"/>
        <w:rPr>
          <w:rFonts w:ascii="Bookman Old Style" w:hAnsi="Bookman Old Style"/>
          <w:b/>
          <w:lang w:val="uk-UA"/>
        </w:rPr>
      </w:pPr>
      <w:r w:rsidRPr="008F1DFB">
        <w:rPr>
          <w:rFonts w:ascii="Bookman Old Style" w:hAnsi="Bookman Old Style"/>
          <w:b/>
          <w:bCs/>
          <w:lang w:val="uk-UA"/>
        </w:rPr>
        <w:t xml:space="preserve"> (ЄДРПОУ 31316718), </w:t>
      </w:r>
      <w:r w:rsidR="00AD341C" w:rsidRPr="008F1DFB">
        <w:rPr>
          <w:rFonts w:ascii="Bookman Old Style" w:hAnsi="Bookman Old Style"/>
          <w:b/>
          <w:lang w:val="uk-UA"/>
        </w:rPr>
        <w:t>т</w:t>
      </w:r>
      <w:r w:rsidR="00653C86" w:rsidRPr="008F1DFB">
        <w:rPr>
          <w:rFonts w:ascii="Bookman Old Style" w:hAnsi="Bookman Old Style"/>
          <w:b/>
          <w:lang w:val="uk-UA"/>
        </w:rPr>
        <w:t>и</w:t>
      </w:r>
      <w:r w:rsidR="00AD341C" w:rsidRPr="008F1DFB">
        <w:rPr>
          <w:rFonts w:ascii="Bookman Old Style" w:hAnsi="Bookman Old Style"/>
          <w:b/>
          <w:lang w:val="uk-UA"/>
        </w:rPr>
        <w:t xml:space="preserve">с. грн., </w:t>
      </w:r>
      <w:proofErr w:type="spellStart"/>
      <w:r w:rsidR="00AD341C" w:rsidRPr="008F1DFB">
        <w:rPr>
          <w:rFonts w:ascii="Bookman Old Style" w:hAnsi="Bookman Old Style"/>
          <w:b/>
          <w:lang w:val="uk-UA"/>
        </w:rPr>
        <w:t>п.п</w:t>
      </w:r>
      <w:proofErr w:type="spellEnd"/>
      <w:r w:rsidR="00AD341C" w:rsidRPr="008F1DFB">
        <w:rPr>
          <w:rFonts w:ascii="Bookman Old Style" w:hAnsi="Bookman Old Style"/>
          <w:b/>
          <w:lang w:val="uk-UA"/>
        </w:rPr>
        <w:t>.,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3905"/>
        <w:gridCol w:w="1417"/>
        <w:gridCol w:w="1377"/>
        <w:gridCol w:w="1239"/>
        <w:gridCol w:w="1106"/>
      </w:tblGrid>
      <w:tr w:rsidR="00AD341C" w:rsidRPr="008F1DFB" w:rsidTr="00FE4CD8">
        <w:trPr>
          <w:trHeight w:val="55"/>
          <w:jc w:val="center"/>
        </w:trPr>
        <w:tc>
          <w:tcPr>
            <w:tcW w:w="272" w:type="dxa"/>
            <w:shd w:val="clear" w:color="auto" w:fill="auto"/>
            <w:vAlign w:val="center"/>
          </w:tcPr>
          <w:p w:rsidR="00AD341C" w:rsidRPr="008F1DFB" w:rsidRDefault="00AD341C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#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AD341C" w:rsidRPr="008F1DFB" w:rsidRDefault="00AD341C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Показ</w:t>
            </w:r>
            <w:r w:rsidR="00653C86"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8A8" w:rsidRPr="008F1DFB" w:rsidRDefault="00E0439B" w:rsidP="00C848A8">
            <w:pPr>
              <w:shd w:val="clear" w:color="auto" w:fill="FFFFFF"/>
              <w:snapToGrid w:val="0"/>
              <w:jc w:val="center"/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9 місяців</w:t>
            </w:r>
            <w:r w:rsidR="00C848A8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 xml:space="preserve"> 20</w:t>
            </w:r>
            <w:r w:rsidR="00035390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20</w:t>
            </w:r>
            <w:r w:rsidR="00C848A8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 xml:space="preserve"> </w:t>
            </w:r>
            <w:r w:rsidR="008264E7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року</w:t>
            </w:r>
          </w:p>
          <w:p w:rsidR="00AD341C" w:rsidRPr="008F1DFB" w:rsidRDefault="00F31F45">
            <w:pPr>
              <w:snapToGrid w:val="0"/>
              <w:jc w:val="center"/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(</w:t>
            </w:r>
            <w:r w:rsidR="00E3614E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01/</w:t>
            </w:r>
            <w:r w:rsidR="00E0439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10</w:t>
            </w:r>
            <w:r w:rsidR="00E3614E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/20</w:t>
            </w:r>
            <w:r w:rsidR="001F023B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20</w:t>
            </w: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848A8" w:rsidRPr="008F1DFB" w:rsidRDefault="00E0439B" w:rsidP="00C848A8">
            <w:pPr>
              <w:shd w:val="clear" w:color="auto" w:fill="FFFFFF"/>
              <w:snapToGrid w:val="0"/>
              <w:jc w:val="center"/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9 місяців</w:t>
            </w:r>
            <w:r w:rsidR="00C848A8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 xml:space="preserve"> 201</w:t>
            </w:r>
            <w:r w:rsidR="00035390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9</w:t>
            </w:r>
            <w:r w:rsidR="00C848A8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 xml:space="preserve"> </w:t>
            </w:r>
            <w:r w:rsidR="008264E7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року</w:t>
            </w:r>
          </w:p>
          <w:p w:rsidR="00AD341C" w:rsidRPr="008F1DFB" w:rsidRDefault="00F31F45">
            <w:pPr>
              <w:snapToGrid w:val="0"/>
              <w:jc w:val="center"/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(</w:t>
            </w:r>
            <w:r w:rsidR="00E3614E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01/</w:t>
            </w:r>
            <w:r w:rsidR="00E0439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10</w:t>
            </w:r>
            <w:r w:rsidR="00E3614E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/201</w:t>
            </w:r>
            <w:r w:rsidR="001F023B"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9</w:t>
            </w:r>
            <w:r w:rsidRPr="008F1DFB">
              <w:rPr>
                <w:rFonts w:ascii="Bookman Old Style" w:hAnsi="Bookman Old Style" w:cs="Arial CYR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D341C" w:rsidRPr="008F1DFB" w:rsidRDefault="008264E7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Зміна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D341C" w:rsidRPr="008F1DFB" w:rsidRDefault="00AD341C">
            <w:pPr>
              <w:snapToGrid w:val="0"/>
              <w:jc w:val="center"/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Темп прирост</w:t>
            </w:r>
            <w:r w:rsidR="008264E7"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у</w:t>
            </w:r>
            <w:r w:rsidRPr="008F1DFB">
              <w:rPr>
                <w:rFonts w:ascii="Bookman Old Style" w:hAnsi="Bookman Old Style" w:cs="Arial CYR"/>
                <w:b/>
                <w:sz w:val="18"/>
                <w:szCs w:val="18"/>
                <w:lang w:val="uk-UA"/>
              </w:rPr>
              <w:t>, %</w:t>
            </w:r>
          </w:p>
        </w:tc>
      </w:tr>
      <w:tr w:rsidR="005C683A" w:rsidRPr="008F1DFB" w:rsidTr="000041FE">
        <w:trPr>
          <w:trHeight w:val="151"/>
          <w:jc w:val="center"/>
        </w:trPr>
        <w:tc>
          <w:tcPr>
            <w:tcW w:w="272" w:type="dxa"/>
            <w:shd w:val="clear" w:color="auto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 w:cs="Arial CYR"/>
                <w:sz w:val="18"/>
                <w:szCs w:val="18"/>
                <w:lang w:val="uk-UA"/>
              </w:rPr>
              <w:t>1</w:t>
            </w:r>
          </w:p>
        </w:tc>
        <w:tc>
          <w:tcPr>
            <w:tcW w:w="3905" w:type="dxa"/>
            <w:shd w:val="clear" w:color="auto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Чистий дохід від реалізації продукції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11 717 413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9 430 243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287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24,25%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auto" w:fill="auto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906 051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703 483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28,80%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auto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</w:p>
        </w:tc>
        <w:tc>
          <w:tcPr>
            <w:tcW w:w="3905" w:type="dxa"/>
            <w:shd w:val="clear" w:color="auto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Рентабельність власного капіталу (ROE)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52,48%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83,73%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5C683A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-31,25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auto" w:fill="auto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Рентабельність продаж (ROS)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9,92%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7,70%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5C683A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2,2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2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auto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3905" w:type="dxa"/>
            <w:shd w:val="clear" w:color="auto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Рентабельність активів (ROA)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16,05%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17,58%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5C683A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-1,53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auto" w:fill="FFFF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</w:t>
            </w:r>
          </w:p>
        </w:tc>
        <w:tc>
          <w:tcPr>
            <w:tcW w:w="3905" w:type="dxa"/>
            <w:shd w:val="clear" w:color="auto" w:fill="FFFF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EBITDA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835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194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640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53,63%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000000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</w:t>
            </w:r>
          </w:p>
        </w:tc>
        <w:tc>
          <w:tcPr>
            <w:tcW w:w="3905" w:type="dxa"/>
            <w:shd w:val="clear" w:color="000000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EBIT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1 161 864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726 475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435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59,93%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auto" w:fill="auto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</w:t>
            </w:r>
          </w:p>
        </w:tc>
        <w:tc>
          <w:tcPr>
            <w:tcW w:w="3905" w:type="dxa"/>
            <w:shd w:val="clear" w:color="000000" w:fill="FFFF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EBITDA / Довгострокові та поточні зобов'язання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46,85%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37,80%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83A" w:rsidRPr="005C683A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9,05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5C683A" w:rsidRPr="008F1DFB" w:rsidTr="000041FE">
        <w:trPr>
          <w:trHeight w:val="55"/>
          <w:jc w:val="center"/>
        </w:trPr>
        <w:tc>
          <w:tcPr>
            <w:tcW w:w="272" w:type="dxa"/>
            <w:shd w:val="clear" w:color="000000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jc w:val="right"/>
              <w:rPr>
                <w:rFonts w:ascii="Bookman Old Style" w:hAnsi="Bookman Old Style" w:cs="Arial CYR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</w:t>
            </w:r>
          </w:p>
        </w:tc>
        <w:tc>
          <w:tcPr>
            <w:tcW w:w="3905" w:type="dxa"/>
            <w:shd w:val="clear" w:color="000000" w:fill="9999FF"/>
            <w:vAlign w:val="center"/>
          </w:tcPr>
          <w:p w:rsidR="005C683A" w:rsidRPr="008F1DFB" w:rsidRDefault="005C683A" w:rsidP="000041FE">
            <w:pPr>
              <w:widowControl w:val="0"/>
              <w:suppressAutoHyphens w:val="0"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8F1DFB">
              <w:rPr>
                <w:rFonts w:ascii="Bookman Old Style" w:hAnsi="Bookman Old Style"/>
                <w:sz w:val="18"/>
                <w:szCs w:val="18"/>
                <w:lang w:val="uk-UA"/>
              </w:rPr>
              <w:t>EBIT / Довгострокові та поточні зобов'язання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29,65%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22,99%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5C683A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6,6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vAlign w:val="center"/>
          </w:tcPr>
          <w:p w:rsidR="005C683A" w:rsidRPr="00CF30BB" w:rsidRDefault="005C683A" w:rsidP="000041FE">
            <w:pPr>
              <w:widowControl w:val="0"/>
              <w:suppressAutoHyphens w:val="0"/>
              <w:jc w:val="right"/>
              <w:rPr>
                <w:rFonts w:ascii="Bookman Old Style" w:hAnsi="Bookman Old Style" w:cs="Arial CYR"/>
                <w:color w:val="000000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D341C" w:rsidRPr="008F1DFB" w:rsidRDefault="00AD341C" w:rsidP="00DB317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AD341C" w:rsidRPr="008F1DFB" w:rsidRDefault="00AD341C">
      <w:pPr>
        <w:shd w:val="clear" w:color="auto" w:fill="FFFFFF"/>
        <w:ind w:firstLine="708"/>
        <w:jc w:val="both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lang w:val="uk-UA"/>
        </w:rPr>
        <w:t xml:space="preserve">3. </w:t>
      </w:r>
      <w:r w:rsidR="00C56767">
        <w:rPr>
          <w:rFonts w:ascii="Bookman Old Style" w:hAnsi="Bookman Old Style"/>
          <w:lang w:val="uk-UA"/>
        </w:rPr>
        <w:t xml:space="preserve">В аналізованому періоді 2020 року </w:t>
      </w:r>
      <w:r w:rsidR="008B365C">
        <w:rPr>
          <w:rFonts w:ascii="Bookman Old Style" w:hAnsi="Bookman Old Style"/>
          <w:lang w:val="uk-UA"/>
        </w:rPr>
        <w:t>масштаби</w:t>
      </w:r>
      <w:r w:rsidR="004A4A5B">
        <w:rPr>
          <w:rFonts w:ascii="Bookman Old Style" w:hAnsi="Bookman Old Style"/>
          <w:lang w:val="uk-UA"/>
        </w:rPr>
        <w:t xml:space="preserve"> бізнесу </w:t>
      </w:r>
      <w:bookmarkStart w:id="4" w:name="_Hlk55323290"/>
      <w:r w:rsidR="00C56767" w:rsidRPr="00C56767">
        <w:rPr>
          <w:rFonts w:ascii="Bookman Old Style" w:hAnsi="Bookman Old Style"/>
          <w:lang w:val="uk-UA"/>
        </w:rPr>
        <w:t>ТОВ «НОВА ПОШТА»</w:t>
      </w:r>
      <w:r w:rsidR="004A4A5B">
        <w:rPr>
          <w:rFonts w:ascii="Bookman Old Style" w:hAnsi="Bookman Old Style"/>
          <w:lang w:val="uk-UA"/>
        </w:rPr>
        <w:t xml:space="preserve"> </w:t>
      </w:r>
      <w:bookmarkEnd w:id="4"/>
      <w:r w:rsidR="004A4A5B">
        <w:rPr>
          <w:rFonts w:ascii="Bookman Old Style" w:hAnsi="Bookman Old Style"/>
          <w:lang w:val="uk-UA"/>
        </w:rPr>
        <w:t>продовжили зростати</w:t>
      </w:r>
      <w:r w:rsidR="00C56767">
        <w:rPr>
          <w:rFonts w:ascii="Bookman Old Style" w:hAnsi="Bookman Old Style"/>
          <w:lang w:val="uk-UA"/>
        </w:rPr>
        <w:t xml:space="preserve">. Зокрема, </w:t>
      </w:r>
      <w:r w:rsidR="004A4A5B">
        <w:rPr>
          <w:rFonts w:ascii="Bookman Old Style" w:hAnsi="Bookman Old Style"/>
          <w:lang w:val="uk-UA"/>
        </w:rPr>
        <w:t>за 9 місяців Компанія від</w:t>
      </w:r>
      <w:r w:rsidR="000B5719">
        <w:rPr>
          <w:rFonts w:ascii="Bookman Old Style" w:hAnsi="Bookman Old Style"/>
          <w:lang w:val="uk-UA"/>
        </w:rPr>
        <w:t>к</w:t>
      </w:r>
      <w:r w:rsidR="004A4A5B">
        <w:rPr>
          <w:rFonts w:ascii="Bookman Old Style" w:hAnsi="Bookman Old Style"/>
          <w:lang w:val="uk-UA"/>
        </w:rPr>
        <w:t xml:space="preserve">рила 1300 нових відділень по всій Україні, і станом на початок жовтня 2020 року </w:t>
      </w:r>
      <w:r w:rsidR="008B365C">
        <w:rPr>
          <w:rFonts w:ascii="Bookman Old Style" w:hAnsi="Bookman Old Style"/>
          <w:lang w:val="uk-UA"/>
        </w:rPr>
        <w:t xml:space="preserve">її </w:t>
      </w:r>
      <w:r w:rsidR="004A4A5B">
        <w:rPr>
          <w:rFonts w:ascii="Bookman Old Style" w:hAnsi="Bookman Old Style"/>
          <w:lang w:val="uk-UA"/>
        </w:rPr>
        <w:t xml:space="preserve">загальна </w:t>
      </w:r>
      <w:r w:rsidR="008B365C">
        <w:rPr>
          <w:rFonts w:ascii="Bookman Old Style" w:hAnsi="Bookman Old Style"/>
          <w:lang w:val="uk-UA"/>
        </w:rPr>
        <w:t>мережа</w:t>
      </w:r>
      <w:r w:rsidR="004A4A5B">
        <w:rPr>
          <w:rFonts w:ascii="Bookman Old Style" w:hAnsi="Bookman Old Style"/>
          <w:lang w:val="uk-UA"/>
        </w:rPr>
        <w:t xml:space="preserve"> перевищила 7100</w:t>
      </w:r>
      <w:r w:rsidR="008B365C" w:rsidRPr="008B365C">
        <w:t xml:space="preserve"> </w:t>
      </w:r>
      <w:r w:rsidR="008B365C" w:rsidRPr="008B365C">
        <w:rPr>
          <w:rFonts w:ascii="Bookman Old Style" w:hAnsi="Bookman Old Style"/>
          <w:lang w:val="uk-UA"/>
        </w:rPr>
        <w:t>відділень</w:t>
      </w:r>
      <w:r w:rsidR="004A4A5B">
        <w:rPr>
          <w:rFonts w:ascii="Bookman Old Style" w:hAnsi="Bookman Old Style"/>
          <w:lang w:val="uk-UA"/>
        </w:rPr>
        <w:t>.</w:t>
      </w:r>
      <w:r w:rsidR="00C56767">
        <w:rPr>
          <w:rFonts w:ascii="Bookman Old Style" w:hAnsi="Bookman Old Style"/>
          <w:lang w:val="uk-UA"/>
        </w:rPr>
        <w:t xml:space="preserve"> </w:t>
      </w:r>
      <w:r w:rsidR="004A4A5B">
        <w:rPr>
          <w:rFonts w:ascii="Bookman Old Style" w:hAnsi="Bookman Old Style"/>
          <w:lang w:val="uk-UA"/>
        </w:rPr>
        <w:t>Ч</w:t>
      </w:r>
      <w:r w:rsidR="00ED75D1" w:rsidRPr="008F1DFB">
        <w:rPr>
          <w:rFonts w:ascii="Bookman Old Style" w:hAnsi="Bookman Old Style"/>
          <w:lang w:val="uk-UA"/>
        </w:rPr>
        <w:t>истий дохід від реалізації продукції</w:t>
      </w:r>
      <w:r w:rsidR="00C56767">
        <w:rPr>
          <w:rFonts w:ascii="Bookman Old Style" w:hAnsi="Bookman Old Style"/>
          <w:lang w:val="uk-UA"/>
        </w:rPr>
        <w:t xml:space="preserve"> </w:t>
      </w:r>
      <w:r w:rsidR="004A4A5B" w:rsidRPr="004A4A5B">
        <w:rPr>
          <w:rFonts w:ascii="Bookman Old Style" w:hAnsi="Bookman Old Style"/>
          <w:lang w:val="uk-UA"/>
        </w:rPr>
        <w:t xml:space="preserve">ТОВ «НОВА ПОШТА» </w:t>
      </w:r>
      <w:r w:rsidR="004A4A5B">
        <w:rPr>
          <w:rFonts w:ascii="Bookman Old Style" w:hAnsi="Bookman Old Style"/>
          <w:lang w:val="uk-UA"/>
        </w:rPr>
        <w:t xml:space="preserve">за три квартали 2020 року </w:t>
      </w:r>
      <w:r w:rsidR="00CF70DB">
        <w:rPr>
          <w:rFonts w:ascii="Bookman Old Style" w:hAnsi="Bookman Old Style"/>
          <w:lang w:val="uk-UA"/>
        </w:rPr>
        <w:t>склав</w:t>
      </w:r>
      <w:r w:rsidR="00ED75D1" w:rsidRPr="008F1DFB">
        <w:rPr>
          <w:rFonts w:ascii="Bookman Old Style" w:hAnsi="Bookman Old Style"/>
          <w:lang w:val="uk-UA"/>
        </w:rPr>
        <w:t xml:space="preserve"> </w:t>
      </w:r>
      <w:r w:rsidR="004A4A5B">
        <w:rPr>
          <w:rFonts w:ascii="Bookman Old Style" w:hAnsi="Bookman Old Style"/>
          <w:lang w:val="uk-UA"/>
        </w:rPr>
        <w:t>11,717</w:t>
      </w:r>
      <w:r w:rsidR="00ED75D1" w:rsidRPr="008F1DFB">
        <w:rPr>
          <w:rFonts w:ascii="Bookman Old Style" w:hAnsi="Bookman Old Style"/>
          <w:lang w:val="uk-UA"/>
        </w:rPr>
        <w:t xml:space="preserve"> мл</w:t>
      </w:r>
      <w:r w:rsidR="00CF70DB">
        <w:rPr>
          <w:rFonts w:ascii="Bookman Old Style" w:hAnsi="Bookman Old Style"/>
          <w:lang w:val="uk-UA"/>
        </w:rPr>
        <w:t>рд</w:t>
      </w:r>
      <w:r w:rsidR="00ED75D1" w:rsidRPr="008F1DFB">
        <w:rPr>
          <w:rFonts w:ascii="Bookman Old Style" w:hAnsi="Bookman Old Style"/>
          <w:lang w:val="uk-UA"/>
        </w:rPr>
        <w:t xml:space="preserve">. грн., що на </w:t>
      </w:r>
      <w:r w:rsidR="00C56767">
        <w:rPr>
          <w:rFonts w:ascii="Bookman Old Style" w:hAnsi="Bookman Old Style"/>
          <w:lang w:val="uk-UA"/>
        </w:rPr>
        <w:t>24,</w:t>
      </w:r>
      <w:r w:rsidR="004A4A5B">
        <w:rPr>
          <w:rFonts w:ascii="Bookman Old Style" w:hAnsi="Bookman Old Style"/>
          <w:lang w:val="uk-UA"/>
        </w:rPr>
        <w:t>25</w:t>
      </w:r>
      <w:r w:rsidR="00ED75D1" w:rsidRPr="008F1DFB">
        <w:rPr>
          <w:rFonts w:ascii="Bookman Old Style" w:hAnsi="Bookman Old Style"/>
          <w:lang w:val="uk-UA"/>
        </w:rPr>
        <w:t xml:space="preserve">% </w:t>
      </w:r>
      <w:r w:rsidR="000B5719">
        <w:rPr>
          <w:rFonts w:ascii="Bookman Old Style" w:hAnsi="Bookman Old Style"/>
          <w:lang w:val="uk-UA"/>
        </w:rPr>
        <w:t>перевищило показник</w:t>
      </w:r>
      <w:r w:rsidR="00ED75D1" w:rsidRPr="008F1DFB">
        <w:rPr>
          <w:rFonts w:ascii="Bookman Old Style" w:hAnsi="Bookman Old Style"/>
          <w:lang w:val="uk-UA"/>
        </w:rPr>
        <w:t xml:space="preserve"> </w:t>
      </w:r>
      <w:r w:rsidR="00CF70DB">
        <w:rPr>
          <w:rFonts w:ascii="Bookman Old Style" w:hAnsi="Bookman Old Style"/>
          <w:lang w:val="uk-UA"/>
        </w:rPr>
        <w:t xml:space="preserve">за </w:t>
      </w:r>
      <w:r w:rsidR="00C56767">
        <w:rPr>
          <w:rFonts w:ascii="Bookman Old Style" w:hAnsi="Bookman Old Style"/>
          <w:lang w:val="uk-UA"/>
        </w:rPr>
        <w:t>аналогічний період</w:t>
      </w:r>
      <w:r w:rsidR="00FE5403">
        <w:rPr>
          <w:rFonts w:ascii="Bookman Old Style" w:hAnsi="Bookman Old Style"/>
          <w:lang w:val="uk-UA"/>
        </w:rPr>
        <w:t xml:space="preserve"> </w:t>
      </w:r>
      <w:r w:rsidR="00CF70DB">
        <w:rPr>
          <w:rFonts w:ascii="Bookman Old Style" w:hAnsi="Bookman Old Style"/>
          <w:lang w:val="uk-UA"/>
        </w:rPr>
        <w:t>201</w:t>
      </w:r>
      <w:r w:rsidR="00FE5403">
        <w:rPr>
          <w:rFonts w:ascii="Bookman Old Style" w:hAnsi="Bookman Old Style"/>
          <w:lang w:val="uk-UA"/>
        </w:rPr>
        <w:t>9</w:t>
      </w:r>
      <w:r w:rsidR="00CF70DB">
        <w:rPr>
          <w:rFonts w:ascii="Bookman Old Style" w:hAnsi="Bookman Old Style"/>
          <w:lang w:val="uk-UA"/>
        </w:rPr>
        <w:t xml:space="preserve"> р</w:t>
      </w:r>
      <w:r w:rsidR="00FE5403">
        <w:rPr>
          <w:rFonts w:ascii="Bookman Old Style" w:hAnsi="Bookman Old Style"/>
          <w:lang w:val="uk-UA"/>
        </w:rPr>
        <w:t>оку</w:t>
      </w:r>
      <w:r w:rsidR="004A4A5B">
        <w:rPr>
          <w:rFonts w:ascii="Bookman Old Style" w:hAnsi="Bookman Old Style"/>
          <w:lang w:val="uk-UA"/>
        </w:rPr>
        <w:t>. При цьому</w:t>
      </w:r>
      <w:r w:rsidR="000B5719">
        <w:rPr>
          <w:rFonts w:ascii="Bookman Old Style" w:hAnsi="Bookman Old Style"/>
          <w:lang w:val="uk-UA"/>
        </w:rPr>
        <w:t>,</w:t>
      </w:r>
      <w:r w:rsidR="004A4A5B">
        <w:rPr>
          <w:rFonts w:ascii="Bookman Old Style" w:hAnsi="Bookman Old Style"/>
          <w:lang w:val="uk-UA"/>
        </w:rPr>
        <w:t xml:space="preserve"> Компанія</w:t>
      </w:r>
      <w:r w:rsidR="004A4A5B" w:rsidRPr="004A4A5B">
        <w:t xml:space="preserve"> </w:t>
      </w:r>
      <w:r w:rsidR="004A4A5B" w:rsidRPr="004A4A5B">
        <w:rPr>
          <w:rFonts w:ascii="Bookman Old Style" w:hAnsi="Bookman Old Style"/>
          <w:lang w:val="uk-UA"/>
        </w:rPr>
        <w:t xml:space="preserve">продемонструвала вагомі </w:t>
      </w:r>
      <w:r w:rsidR="004A4A5B">
        <w:rPr>
          <w:rFonts w:ascii="Bookman Old Style" w:hAnsi="Bookman Old Style"/>
          <w:lang w:val="uk-UA"/>
        </w:rPr>
        <w:t>обсяги чистого та операційного прибутку</w:t>
      </w:r>
      <w:r w:rsidR="008B365C">
        <w:rPr>
          <w:rFonts w:ascii="Bookman Old Style" w:hAnsi="Bookman Old Style"/>
          <w:lang w:val="uk-UA"/>
        </w:rPr>
        <w:t xml:space="preserve">. Так, </w:t>
      </w:r>
      <w:r w:rsidR="00C56767">
        <w:rPr>
          <w:rFonts w:ascii="Bookman Old Style" w:hAnsi="Bookman Old Style"/>
          <w:lang w:val="uk-UA"/>
        </w:rPr>
        <w:t>ч</w:t>
      </w:r>
      <w:r w:rsidR="00CF70DB">
        <w:rPr>
          <w:rFonts w:ascii="Bookman Old Style" w:hAnsi="Bookman Old Style"/>
          <w:lang w:val="uk-UA"/>
        </w:rPr>
        <w:t>истий прибуток</w:t>
      </w:r>
      <w:r w:rsidR="008B365C" w:rsidRPr="008B365C">
        <w:t xml:space="preserve"> </w:t>
      </w:r>
      <w:r w:rsidR="008B365C" w:rsidRPr="008B365C">
        <w:rPr>
          <w:rFonts w:ascii="Bookman Old Style" w:hAnsi="Bookman Old Style"/>
          <w:lang w:val="uk-UA"/>
        </w:rPr>
        <w:t>ТОВ «НОВА ПОШТА»</w:t>
      </w:r>
      <w:r w:rsidR="00CF70DB">
        <w:rPr>
          <w:rFonts w:ascii="Bookman Old Style" w:hAnsi="Bookman Old Style"/>
          <w:lang w:val="uk-UA"/>
        </w:rPr>
        <w:t xml:space="preserve"> </w:t>
      </w:r>
      <w:r w:rsidR="004A4A5B">
        <w:rPr>
          <w:rFonts w:ascii="Bookman Old Style" w:hAnsi="Bookman Old Style"/>
          <w:lang w:val="uk-UA"/>
        </w:rPr>
        <w:t>за 9 місяців 2020 року склав 906,051</w:t>
      </w:r>
      <w:r w:rsidR="00CF70DB">
        <w:rPr>
          <w:rFonts w:ascii="Bookman Old Style" w:hAnsi="Bookman Old Style"/>
          <w:lang w:val="uk-UA"/>
        </w:rPr>
        <w:t xml:space="preserve"> млн. грн., що </w:t>
      </w:r>
      <w:r w:rsidR="00FE5403">
        <w:rPr>
          <w:rFonts w:ascii="Bookman Old Style" w:hAnsi="Bookman Old Style"/>
          <w:lang w:val="uk-UA"/>
        </w:rPr>
        <w:t xml:space="preserve">на </w:t>
      </w:r>
      <w:r w:rsidR="004A4A5B">
        <w:rPr>
          <w:rFonts w:ascii="Bookman Old Style" w:hAnsi="Bookman Old Style"/>
          <w:lang w:val="uk-UA"/>
        </w:rPr>
        <w:t>28,80</w:t>
      </w:r>
      <w:r w:rsidR="00FE5403">
        <w:rPr>
          <w:rFonts w:ascii="Bookman Old Style" w:hAnsi="Bookman Old Style"/>
          <w:lang w:val="uk-UA"/>
        </w:rPr>
        <w:t>%</w:t>
      </w:r>
      <w:r w:rsidR="00CF70DB">
        <w:rPr>
          <w:rFonts w:ascii="Bookman Old Style" w:hAnsi="Bookman Old Style"/>
          <w:lang w:val="uk-UA"/>
        </w:rPr>
        <w:t xml:space="preserve"> </w:t>
      </w:r>
      <w:r w:rsidR="004A4A5B">
        <w:rPr>
          <w:rFonts w:ascii="Bookman Old Style" w:hAnsi="Bookman Old Style"/>
          <w:lang w:val="uk-UA"/>
        </w:rPr>
        <w:t xml:space="preserve">більше ніж за 9 місяців </w:t>
      </w:r>
      <w:r w:rsidR="00FE5403">
        <w:rPr>
          <w:rFonts w:ascii="Bookman Old Style" w:hAnsi="Bookman Old Style"/>
          <w:lang w:val="uk-UA"/>
        </w:rPr>
        <w:t>2019 року</w:t>
      </w:r>
      <w:r w:rsidR="00D34583" w:rsidRPr="008F1DFB">
        <w:rPr>
          <w:rFonts w:ascii="Bookman Old Style" w:hAnsi="Bookman Old Style"/>
          <w:lang w:val="uk-UA"/>
        </w:rPr>
        <w:t>.</w:t>
      </w:r>
    </w:p>
    <w:p w:rsidR="00ED75D1" w:rsidRPr="008F1DFB" w:rsidRDefault="00ED75D1">
      <w:pPr>
        <w:shd w:val="clear" w:color="auto" w:fill="FFFFFF"/>
        <w:ind w:firstLine="708"/>
        <w:jc w:val="both"/>
        <w:rPr>
          <w:rFonts w:ascii="Bookman Old Style" w:hAnsi="Bookman Old Style"/>
          <w:lang w:val="uk-UA"/>
        </w:rPr>
      </w:pPr>
    </w:p>
    <w:p w:rsidR="00ED75D1" w:rsidRPr="008F1DFB" w:rsidRDefault="00ED75D1" w:rsidP="00ED75D1">
      <w:pPr>
        <w:shd w:val="clear" w:color="auto" w:fill="FFFFFF"/>
        <w:ind w:firstLine="708"/>
        <w:jc w:val="both"/>
        <w:rPr>
          <w:rFonts w:ascii="Bookman Old Style" w:hAnsi="Bookman Old Style"/>
          <w:lang w:val="uk-UA"/>
        </w:rPr>
      </w:pPr>
      <w:r w:rsidRPr="008F1DFB">
        <w:rPr>
          <w:rFonts w:ascii="Bookman Old Style" w:hAnsi="Bookman Old Style"/>
          <w:lang w:val="uk-UA"/>
        </w:rPr>
        <w:t xml:space="preserve">4. </w:t>
      </w:r>
      <w:r w:rsidR="008F1DFB">
        <w:rPr>
          <w:rFonts w:ascii="Bookman Old Style" w:hAnsi="Bookman Old Style"/>
          <w:lang w:val="uk-UA"/>
        </w:rPr>
        <w:t>А</w:t>
      </w:r>
      <w:r w:rsidRPr="008F1DFB">
        <w:rPr>
          <w:rFonts w:ascii="Bookman Old Style" w:hAnsi="Bookman Old Style"/>
          <w:lang w:val="uk-UA"/>
        </w:rPr>
        <w:t>налізуючи здатність Емітента обслуговувати борги</w:t>
      </w:r>
      <w:r w:rsidR="00CF70DB">
        <w:rPr>
          <w:rFonts w:ascii="Bookman Old Style" w:hAnsi="Bookman Old Style"/>
          <w:lang w:val="uk-UA"/>
        </w:rPr>
        <w:t>,</w:t>
      </w:r>
      <w:r w:rsidRPr="008F1DFB">
        <w:rPr>
          <w:rFonts w:ascii="Bookman Old Style" w:hAnsi="Bookman Old Style"/>
          <w:lang w:val="uk-UA"/>
        </w:rPr>
        <w:t xml:space="preserve"> Агентство </w:t>
      </w:r>
      <w:r w:rsidR="00207316">
        <w:rPr>
          <w:rFonts w:ascii="Bookman Old Style" w:hAnsi="Bookman Old Style"/>
          <w:lang w:val="uk-UA"/>
        </w:rPr>
        <w:t>зазначає, що</w:t>
      </w:r>
      <w:r w:rsidRPr="008F1DFB">
        <w:rPr>
          <w:rFonts w:ascii="Bookman Old Style" w:hAnsi="Bookman Old Style"/>
          <w:lang w:val="uk-UA"/>
        </w:rPr>
        <w:t xml:space="preserve"> </w:t>
      </w:r>
      <w:r w:rsidR="008B365C" w:rsidRPr="008B365C">
        <w:rPr>
          <w:rFonts w:ascii="Bookman Old Style" w:hAnsi="Bookman Old Style"/>
          <w:lang w:val="uk-UA"/>
        </w:rPr>
        <w:t xml:space="preserve">за підсумками 9 місяців 2020 року </w:t>
      </w:r>
      <w:r w:rsidRPr="008F1DFB">
        <w:rPr>
          <w:rFonts w:ascii="Bookman Old Style" w:hAnsi="Bookman Old Style"/>
          <w:lang w:val="uk-UA"/>
        </w:rPr>
        <w:t xml:space="preserve">показники </w:t>
      </w:r>
      <w:r w:rsidR="00CF70DB" w:rsidRPr="00CF70DB">
        <w:rPr>
          <w:rFonts w:ascii="Bookman Old Style" w:hAnsi="Bookman Old Style"/>
          <w:lang w:val="uk-UA"/>
        </w:rPr>
        <w:t xml:space="preserve">EBIT та EBITDA </w:t>
      </w:r>
      <w:r w:rsidR="00207316" w:rsidRPr="00207316">
        <w:rPr>
          <w:rFonts w:ascii="Bookman Old Style" w:hAnsi="Bookman Old Style"/>
          <w:lang w:val="uk-UA"/>
        </w:rPr>
        <w:t xml:space="preserve">ТОВ «НОВА ПОШТА» </w:t>
      </w:r>
      <w:r w:rsidR="00207316">
        <w:rPr>
          <w:rFonts w:ascii="Bookman Old Style" w:hAnsi="Bookman Old Style"/>
          <w:lang w:val="uk-UA"/>
        </w:rPr>
        <w:t xml:space="preserve">порівняно з </w:t>
      </w:r>
      <w:r w:rsidR="008B365C">
        <w:rPr>
          <w:rFonts w:ascii="Bookman Old Style" w:hAnsi="Bookman Old Style"/>
          <w:lang w:val="uk-UA"/>
        </w:rPr>
        <w:t>аналогічним періодом</w:t>
      </w:r>
      <w:r w:rsidR="00FE5403">
        <w:rPr>
          <w:rFonts w:ascii="Bookman Old Style" w:hAnsi="Bookman Old Style"/>
          <w:lang w:val="uk-UA"/>
        </w:rPr>
        <w:t xml:space="preserve"> </w:t>
      </w:r>
      <w:r w:rsidR="00207316">
        <w:rPr>
          <w:rFonts w:ascii="Bookman Old Style" w:hAnsi="Bookman Old Style"/>
          <w:lang w:val="uk-UA"/>
        </w:rPr>
        <w:t>20</w:t>
      </w:r>
      <w:r w:rsidR="00FE5403">
        <w:rPr>
          <w:rFonts w:ascii="Bookman Old Style" w:hAnsi="Bookman Old Style"/>
          <w:lang w:val="uk-UA"/>
        </w:rPr>
        <w:t>19</w:t>
      </w:r>
      <w:r w:rsidR="00207316">
        <w:rPr>
          <w:rFonts w:ascii="Bookman Old Style" w:hAnsi="Bookman Old Style"/>
          <w:lang w:val="uk-UA"/>
        </w:rPr>
        <w:t xml:space="preserve"> рок</w:t>
      </w:r>
      <w:r w:rsidR="00FE5403">
        <w:rPr>
          <w:rFonts w:ascii="Bookman Old Style" w:hAnsi="Bookman Old Style"/>
          <w:lang w:val="uk-UA"/>
        </w:rPr>
        <w:t>у</w:t>
      </w:r>
      <w:r w:rsidR="008B365C">
        <w:rPr>
          <w:rFonts w:ascii="Bookman Old Style" w:hAnsi="Bookman Old Style"/>
          <w:lang w:val="uk-UA"/>
        </w:rPr>
        <w:t xml:space="preserve"> виросли</w:t>
      </w:r>
      <w:r w:rsidR="00C56767">
        <w:rPr>
          <w:rFonts w:ascii="Bookman Old Style" w:hAnsi="Bookman Old Style"/>
          <w:lang w:val="uk-UA"/>
        </w:rPr>
        <w:t xml:space="preserve"> </w:t>
      </w:r>
      <w:r w:rsidR="00C94C39">
        <w:rPr>
          <w:rFonts w:ascii="Bookman Old Style" w:hAnsi="Bookman Old Style"/>
          <w:lang w:val="uk-UA"/>
        </w:rPr>
        <w:t xml:space="preserve">на </w:t>
      </w:r>
      <w:r w:rsidR="008B365C">
        <w:rPr>
          <w:rFonts w:ascii="Bookman Old Style" w:hAnsi="Bookman Old Style"/>
          <w:lang w:val="uk-UA"/>
        </w:rPr>
        <w:t>59,93</w:t>
      </w:r>
      <w:r w:rsidR="00C94C39">
        <w:rPr>
          <w:rFonts w:ascii="Bookman Old Style" w:hAnsi="Bookman Old Style"/>
          <w:lang w:val="uk-UA"/>
        </w:rPr>
        <w:t xml:space="preserve">% та на </w:t>
      </w:r>
      <w:r w:rsidR="008B365C">
        <w:rPr>
          <w:rFonts w:ascii="Bookman Old Style" w:hAnsi="Bookman Old Style"/>
          <w:lang w:val="uk-UA"/>
        </w:rPr>
        <w:t>53,63</w:t>
      </w:r>
      <w:r w:rsidR="00C94C39">
        <w:rPr>
          <w:rFonts w:ascii="Bookman Old Style" w:hAnsi="Bookman Old Style"/>
          <w:lang w:val="uk-UA"/>
        </w:rPr>
        <w:t>%</w:t>
      </w:r>
      <w:r w:rsidR="00207316">
        <w:rPr>
          <w:rFonts w:ascii="Bookman Old Style" w:hAnsi="Bookman Old Style"/>
          <w:lang w:val="uk-UA"/>
        </w:rPr>
        <w:t xml:space="preserve"> відповідно. </w:t>
      </w:r>
      <w:r w:rsidR="008B365C">
        <w:rPr>
          <w:rFonts w:ascii="Bookman Old Style" w:hAnsi="Bookman Old Style"/>
          <w:lang w:val="uk-UA"/>
        </w:rPr>
        <w:t>В свою чергу, с</w:t>
      </w:r>
      <w:r w:rsidR="00207316">
        <w:rPr>
          <w:rFonts w:ascii="Bookman Old Style" w:hAnsi="Bookman Old Style"/>
          <w:lang w:val="uk-UA"/>
        </w:rPr>
        <w:t xml:space="preserve">піввідношення між </w:t>
      </w:r>
      <w:r w:rsidR="00C94C39" w:rsidRPr="00C94C39">
        <w:rPr>
          <w:rFonts w:ascii="Bookman Old Style" w:hAnsi="Bookman Old Style"/>
          <w:lang w:val="uk-UA"/>
        </w:rPr>
        <w:t xml:space="preserve">EBIT </w:t>
      </w:r>
      <w:r w:rsidR="00C94C39">
        <w:rPr>
          <w:rFonts w:ascii="Bookman Old Style" w:hAnsi="Bookman Old Style"/>
          <w:lang w:val="uk-UA"/>
        </w:rPr>
        <w:t xml:space="preserve">та </w:t>
      </w:r>
      <w:r w:rsidR="00207316" w:rsidRPr="00207316">
        <w:rPr>
          <w:rFonts w:ascii="Bookman Old Style" w:hAnsi="Bookman Old Style"/>
          <w:lang w:val="uk-UA"/>
        </w:rPr>
        <w:t>EBITDA</w:t>
      </w:r>
      <w:r w:rsidR="00207316">
        <w:rPr>
          <w:rFonts w:ascii="Bookman Old Style" w:hAnsi="Bookman Old Style"/>
          <w:lang w:val="uk-UA"/>
        </w:rPr>
        <w:t xml:space="preserve"> </w:t>
      </w:r>
      <w:r w:rsidR="0036033A">
        <w:rPr>
          <w:rFonts w:ascii="Bookman Old Style" w:hAnsi="Bookman Old Style"/>
          <w:lang w:val="uk-UA"/>
        </w:rPr>
        <w:t>і</w:t>
      </w:r>
      <w:r w:rsidR="00207316">
        <w:rPr>
          <w:rFonts w:ascii="Bookman Old Style" w:hAnsi="Bookman Old Style"/>
          <w:lang w:val="uk-UA"/>
        </w:rPr>
        <w:t xml:space="preserve"> сукупними зобов’язаннями </w:t>
      </w:r>
      <w:r w:rsidR="00831A58">
        <w:rPr>
          <w:rFonts w:ascii="Bookman Old Style" w:hAnsi="Bookman Old Style"/>
          <w:lang w:val="uk-UA"/>
        </w:rPr>
        <w:t>Компанії</w:t>
      </w:r>
      <w:r w:rsidR="00207316">
        <w:rPr>
          <w:rFonts w:ascii="Bookman Old Style" w:hAnsi="Bookman Old Style"/>
          <w:lang w:val="uk-UA"/>
        </w:rPr>
        <w:t xml:space="preserve"> </w:t>
      </w:r>
      <w:r w:rsidR="00C94C39">
        <w:rPr>
          <w:rFonts w:ascii="Bookman Old Style" w:hAnsi="Bookman Old Style"/>
          <w:lang w:val="uk-UA"/>
        </w:rPr>
        <w:t xml:space="preserve">за підсумками діяльності впродовж перших </w:t>
      </w:r>
      <w:r w:rsidR="008B365C">
        <w:rPr>
          <w:rFonts w:ascii="Bookman Old Style" w:hAnsi="Bookman Old Style"/>
          <w:lang w:val="uk-UA"/>
        </w:rPr>
        <w:t>трьох</w:t>
      </w:r>
      <w:r w:rsidR="00C56767">
        <w:rPr>
          <w:rFonts w:ascii="Bookman Old Style" w:hAnsi="Bookman Old Style"/>
          <w:lang w:val="uk-UA"/>
        </w:rPr>
        <w:t xml:space="preserve"> кварталів</w:t>
      </w:r>
      <w:r w:rsidR="00C94C39">
        <w:rPr>
          <w:rFonts w:ascii="Bookman Old Style" w:hAnsi="Bookman Old Style"/>
          <w:lang w:val="uk-UA"/>
        </w:rPr>
        <w:t xml:space="preserve"> 2020 року </w:t>
      </w:r>
      <w:r w:rsidR="00C56767">
        <w:rPr>
          <w:rFonts w:ascii="Bookman Old Style" w:hAnsi="Bookman Old Style"/>
          <w:lang w:val="uk-UA"/>
        </w:rPr>
        <w:t>виросло до</w:t>
      </w:r>
      <w:r w:rsidR="00C94C39">
        <w:rPr>
          <w:rFonts w:ascii="Bookman Old Style" w:hAnsi="Bookman Old Style"/>
          <w:lang w:val="uk-UA"/>
        </w:rPr>
        <w:t xml:space="preserve"> </w:t>
      </w:r>
      <w:r w:rsidR="008B365C">
        <w:rPr>
          <w:rFonts w:ascii="Bookman Old Style" w:hAnsi="Bookman Old Style"/>
          <w:lang w:val="uk-UA"/>
        </w:rPr>
        <w:t>29,65</w:t>
      </w:r>
      <w:r w:rsidR="0036033A">
        <w:rPr>
          <w:rFonts w:ascii="Bookman Old Style" w:hAnsi="Bookman Old Style"/>
          <w:lang w:val="uk-UA"/>
        </w:rPr>
        <w:t>%</w:t>
      </w:r>
      <w:r w:rsidR="00C94C39">
        <w:rPr>
          <w:rFonts w:ascii="Bookman Old Style" w:hAnsi="Bookman Old Style"/>
          <w:lang w:val="uk-UA"/>
        </w:rPr>
        <w:t xml:space="preserve"> та </w:t>
      </w:r>
      <w:r w:rsidR="008B365C">
        <w:rPr>
          <w:rFonts w:ascii="Bookman Old Style" w:hAnsi="Bookman Old Style"/>
          <w:lang w:val="uk-UA"/>
        </w:rPr>
        <w:t>46,85</w:t>
      </w:r>
      <w:r w:rsidR="00C94C39">
        <w:rPr>
          <w:rFonts w:ascii="Bookman Old Style" w:hAnsi="Bookman Old Style"/>
          <w:lang w:val="uk-UA"/>
        </w:rPr>
        <w:t>% відповідно.</w:t>
      </w:r>
      <w:r w:rsidR="00207316">
        <w:rPr>
          <w:rFonts w:ascii="Bookman Old Style" w:hAnsi="Bookman Old Style"/>
          <w:lang w:val="uk-UA"/>
        </w:rPr>
        <w:t xml:space="preserve"> </w:t>
      </w:r>
      <w:r w:rsidR="00C94C39">
        <w:rPr>
          <w:rFonts w:ascii="Bookman Old Style" w:hAnsi="Bookman Old Style"/>
          <w:lang w:val="uk-UA"/>
        </w:rPr>
        <w:t xml:space="preserve">Високі значення та приріст показників </w:t>
      </w:r>
      <w:r w:rsidR="00C94C39" w:rsidRPr="00C94C39">
        <w:rPr>
          <w:rFonts w:ascii="Bookman Old Style" w:hAnsi="Bookman Old Style"/>
          <w:lang w:val="uk-UA"/>
        </w:rPr>
        <w:t>EBIT та EBITDA</w:t>
      </w:r>
      <w:r w:rsidR="00C94C39">
        <w:rPr>
          <w:rFonts w:ascii="Bookman Old Style" w:hAnsi="Bookman Old Style"/>
          <w:lang w:val="uk-UA"/>
        </w:rPr>
        <w:t xml:space="preserve"> </w:t>
      </w:r>
      <w:r w:rsidR="00207316">
        <w:rPr>
          <w:rFonts w:ascii="Bookman Old Style" w:hAnsi="Bookman Old Style"/>
          <w:lang w:val="uk-UA"/>
        </w:rPr>
        <w:t>позитив</w:t>
      </w:r>
      <w:r w:rsidR="00C94C39">
        <w:rPr>
          <w:rFonts w:ascii="Bookman Old Style" w:hAnsi="Bookman Old Style"/>
          <w:lang w:val="uk-UA"/>
        </w:rPr>
        <w:t>н</w:t>
      </w:r>
      <w:r w:rsidR="0036033A">
        <w:rPr>
          <w:rFonts w:ascii="Bookman Old Style" w:hAnsi="Bookman Old Style"/>
          <w:lang w:val="uk-UA"/>
        </w:rPr>
        <w:t>о</w:t>
      </w:r>
      <w:r w:rsidR="00207316">
        <w:rPr>
          <w:rFonts w:ascii="Bookman Old Style" w:hAnsi="Bookman Old Style"/>
          <w:lang w:val="uk-UA"/>
        </w:rPr>
        <w:t xml:space="preserve"> впли</w:t>
      </w:r>
      <w:r w:rsidR="00C94C39">
        <w:rPr>
          <w:rFonts w:ascii="Bookman Old Style" w:hAnsi="Bookman Old Style"/>
          <w:lang w:val="uk-UA"/>
        </w:rPr>
        <w:t>в</w:t>
      </w:r>
      <w:r w:rsidR="0036033A">
        <w:rPr>
          <w:rFonts w:ascii="Bookman Old Style" w:hAnsi="Bookman Old Style"/>
          <w:lang w:val="uk-UA"/>
        </w:rPr>
        <w:t>ають</w:t>
      </w:r>
      <w:r w:rsidR="00207316">
        <w:rPr>
          <w:rFonts w:ascii="Bookman Old Style" w:hAnsi="Bookman Old Style"/>
          <w:lang w:val="uk-UA"/>
        </w:rPr>
        <w:t xml:space="preserve"> на платоспроможність</w:t>
      </w:r>
      <w:r w:rsidR="00207316" w:rsidRPr="00207316">
        <w:t xml:space="preserve"> </w:t>
      </w:r>
      <w:r w:rsidR="00207316" w:rsidRPr="00207316">
        <w:rPr>
          <w:rFonts w:ascii="Bookman Old Style" w:hAnsi="Bookman Old Style"/>
          <w:lang w:val="uk-UA"/>
        </w:rPr>
        <w:t>ТОВ «НОВА ПОШТА»</w:t>
      </w:r>
      <w:r w:rsidR="00207316">
        <w:rPr>
          <w:rFonts w:ascii="Bookman Old Style" w:hAnsi="Bookman Old Style"/>
          <w:lang w:val="uk-UA"/>
        </w:rPr>
        <w:t>.</w:t>
      </w:r>
    </w:p>
    <w:p w:rsidR="00ED75D1" w:rsidRPr="008F1DFB" w:rsidRDefault="00ED75D1" w:rsidP="00ED75D1">
      <w:pPr>
        <w:shd w:val="clear" w:color="auto" w:fill="FFFFFF"/>
        <w:jc w:val="both"/>
        <w:rPr>
          <w:rFonts w:ascii="Bookman Old Style" w:hAnsi="Bookman Old Style"/>
          <w:shd w:val="clear" w:color="auto" w:fill="FFFF00"/>
          <w:lang w:val="uk-UA"/>
        </w:rPr>
      </w:pPr>
    </w:p>
    <w:p w:rsidR="00AD341C" w:rsidRPr="008B365C" w:rsidRDefault="00207316" w:rsidP="008B365C">
      <w:pPr>
        <w:shd w:val="clear" w:color="auto" w:fill="FFFFFF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Таким чином, аналіз</w:t>
      </w:r>
      <w:r w:rsidR="00653C86" w:rsidRPr="008F1DFB">
        <w:rPr>
          <w:rFonts w:ascii="Bookman Old Style" w:hAnsi="Bookman Old Style"/>
          <w:lang w:val="uk-UA"/>
        </w:rPr>
        <w:t xml:space="preserve"> звітн</w:t>
      </w:r>
      <w:r>
        <w:rPr>
          <w:rFonts w:ascii="Bookman Old Style" w:hAnsi="Bookman Old Style"/>
          <w:lang w:val="uk-UA"/>
        </w:rPr>
        <w:t>ості</w:t>
      </w:r>
      <w:r w:rsidR="00653C86" w:rsidRPr="008F1DFB">
        <w:rPr>
          <w:rFonts w:ascii="Bookman Old Style" w:hAnsi="Bookman Old Style"/>
          <w:lang w:val="uk-UA"/>
        </w:rPr>
        <w:t xml:space="preserve"> </w:t>
      </w:r>
      <w:r w:rsidR="00ED75D1" w:rsidRPr="008F1DFB">
        <w:rPr>
          <w:rFonts w:ascii="Bookman Old Style" w:hAnsi="Bookman Old Style"/>
          <w:lang w:val="uk-UA"/>
        </w:rPr>
        <w:t xml:space="preserve">ТОВ «НОВА ПОШТА» </w:t>
      </w:r>
      <w:r w:rsidR="00653C86" w:rsidRPr="008F1DFB">
        <w:rPr>
          <w:rFonts w:ascii="Bookman Old Style" w:hAnsi="Bookman Old Style"/>
          <w:lang w:val="uk-UA"/>
        </w:rPr>
        <w:t xml:space="preserve">за </w:t>
      </w:r>
      <w:r w:rsidR="008B365C">
        <w:rPr>
          <w:rFonts w:ascii="Bookman Old Style" w:hAnsi="Bookman Old Style"/>
          <w:lang w:val="uk-UA"/>
        </w:rPr>
        <w:t>9 місяців</w:t>
      </w:r>
      <w:r w:rsidR="00C56767">
        <w:rPr>
          <w:rFonts w:ascii="Bookman Old Style" w:hAnsi="Bookman Old Style"/>
          <w:lang w:val="uk-UA"/>
        </w:rPr>
        <w:t xml:space="preserve"> </w:t>
      </w:r>
      <w:r w:rsidR="00653C86" w:rsidRPr="008F1DFB">
        <w:rPr>
          <w:rFonts w:ascii="Bookman Old Style" w:hAnsi="Bookman Old Style"/>
          <w:lang w:val="uk-UA"/>
        </w:rPr>
        <w:t>20</w:t>
      </w:r>
      <w:r w:rsidR="00035390">
        <w:rPr>
          <w:rFonts w:ascii="Bookman Old Style" w:hAnsi="Bookman Old Style"/>
          <w:lang w:val="uk-UA"/>
        </w:rPr>
        <w:t>20</w:t>
      </w:r>
      <w:r w:rsidR="00653C86" w:rsidRPr="008F1DFB">
        <w:rPr>
          <w:rFonts w:ascii="Bookman Old Style" w:hAnsi="Bookman Old Style"/>
          <w:lang w:val="uk-UA"/>
        </w:rPr>
        <w:t xml:space="preserve"> р</w:t>
      </w:r>
      <w:r w:rsidR="00035390">
        <w:rPr>
          <w:rFonts w:ascii="Bookman Old Style" w:hAnsi="Bookman Old Style"/>
          <w:lang w:val="uk-UA"/>
        </w:rPr>
        <w:t>оку</w:t>
      </w:r>
      <w:r w:rsidR="00653C86" w:rsidRPr="008F1DFB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свідчить про</w:t>
      </w:r>
      <w:r w:rsidR="00D44318" w:rsidRPr="008F1DFB">
        <w:rPr>
          <w:rFonts w:ascii="Bookman Old Style" w:hAnsi="Bookman Old Style"/>
          <w:lang w:val="uk-UA"/>
        </w:rPr>
        <w:t>:</w:t>
      </w:r>
      <w:r w:rsidR="00653C86" w:rsidRPr="008F1DFB">
        <w:rPr>
          <w:rFonts w:ascii="Bookman Old Style" w:hAnsi="Bookman Old Style"/>
          <w:lang w:val="uk-UA"/>
        </w:rPr>
        <w:t xml:space="preserve"> </w:t>
      </w:r>
      <w:r w:rsidR="00C94C39">
        <w:rPr>
          <w:rFonts w:ascii="Bookman Old Style" w:hAnsi="Bookman Old Style"/>
          <w:lang w:val="uk-UA"/>
        </w:rPr>
        <w:t>триваюче</w:t>
      </w:r>
      <w:r w:rsidR="0047505B" w:rsidRPr="008F1DFB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зростання ділової активності</w:t>
      </w:r>
      <w:r w:rsidR="00DB317F">
        <w:rPr>
          <w:rFonts w:ascii="Bookman Old Style" w:hAnsi="Bookman Old Style"/>
          <w:lang w:val="uk-UA"/>
        </w:rPr>
        <w:t>,</w:t>
      </w:r>
      <w:r>
        <w:rPr>
          <w:rFonts w:ascii="Bookman Old Style" w:hAnsi="Bookman Old Style"/>
          <w:lang w:val="uk-UA"/>
        </w:rPr>
        <w:t xml:space="preserve"> </w:t>
      </w:r>
      <w:r w:rsidR="00C94C39">
        <w:rPr>
          <w:rFonts w:ascii="Bookman Old Style" w:hAnsi="Bookman Old Style"/>
          <w:lang w:val="uk-UA"/>
        </w:rPr>
        <w:t>прибуткову діяльність</w:t>
      </w:r>
      <w:r w:rsidR="008B365C">
        <w:rPr>
          <w:rFonts w:ascii="Bookman Old Style" w:hAnsi="Bookman Old Style"/>
          <w:lang w:val="uk-UA"/>
        </w:rPr>
        <w:t xml:space="preserve"> при вагомих обсягах операційного та чистого прибутк</w:t>
      </w:r>
      <w:r w:rsidR="000B5719">
        <w:rPr>
          <w:rFonts w:ascii="Bookman Old Style" w:hAnsi="Bookman Old Style"/>
          <w:lang w:val="uk-UA"/>
        </w:rPr>
        <w:t>у</w:t>
      </w:r>
      <w:r>
        <w:rPr>
          <w:rFonts w:ascii="Bookman Old Style" w:hAnsi="Bookman Old Style"/>
          <w:lang w:val="uk-UA"/>
        </w:rPr>
        <w:t>, а також висок</w:t>
      </w:r>
      <w:r w:rsidR="0036033A">
        <w:rPr>
          <w:rFonts w:ascii="Bookman Old Style" w:hAnsi="Bookman Old Style"/>
          <w:lang w:val="uk-UA"/>
        </w:rPr>
        <w:t>е</w:t>
      </w:r>
      <w:r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lastRenderedPageBreak/>
        <w:t>значення співвідношення між</w:t>
      </w:r>
      <w:r w:rsidRPr="007E3A1A">
        <w:rPr>
          <w:lang w:val="uk-UA"/>
        </w:rPr>
        <w:t xml:space="preserve"> </w:t>
      </w:r>
      <w:r w:rsidRPr="00207316">
        <w:rPr>
          <w:rFonts w:ascii="Bookman Old Style" w:hAnsi="Bookman Old Style"/>
          <w:lang w:val="uk-UA"/>
        </w:rPr>
        <w:t xml:space="preserve">EBIT, EBITDA та сукупними зобов’язаннями </w:t>
      </w:r>
      <w:r w:rsidR="00831A58">
        <w:rPr>
          <w:rFonts w:ascii="Bookman Old Style" w:hAnsi="Bookman Old Style"/>
          <w:lang w:val="uk-UA"/>
        </w:rPr>
        <w:t>Компанії</w:t>
      </w:r>
      <w:r w:rsidR="00C20FA1">
        <w:rPr>
          <w:rFonts w:ascii="Bookman Old Style" w:hAnsi="Bookman Old Style"/>
          <w:lang w:val="uk-UA"/>
        </w:rPr>
        <w:t xml:space="preserve">, що позитивно впливає на </w:t>
      </w:r>
      <w:r w:rsidR="005F6D7B">
        <w:rPr>
          <w:rFonts w:ascii="Bookman Old Style" w:hAnsi="Bookman Old Style"/>
          <w:lang w:val="uk-UA"/>
        </w:rPr>
        <w:t xml:space="preserve">її </w:t>
      </w:r>
      <w:r w:rsidR="00C20FA1" w:rsidRPr="00C20FA1">
        <w:rPr>
          <w:rFonts w:ascii="Bookman Old Style" w:hAnsi="Bookman Old Style"/>
          <w:lang w:val="uk-UA"/>
        </w:rPr>
        <w:t>здатність обслуговувати борги</w:t>
      </w:r>
      <w:r w:rsidR="00C20FA1">
        <w:rPr>
          <w:rFonts w:ascii="Bookman Old Style" w:hAnsi="Bookman Old Style"/>
          <w:lang w:val="uk-UA"/>
        </w:rPr>
        <w:t>.</w:t>
      </w:r>
      <w:r w:rsidR="00A67CE1">
        <w:rPr>
          <w:rFonts w:ascii="Bookman Old Style" w:hAnsi="Bookman Old Style"/>
          <w:lang w:val="uk-UA"/>
        </w:rPr>
        <w:t xml:space="preserve"> </w:t>
      </w:r>
    </w:p>
    <w:p w:rsidR="008A33DA" w:rsidRPr="001F7C34" w:rsidRDefault="00AD341C" w:rsidP="001F7C34">
      <w:pPr>
        <w:jc w:val="right"/>
        <w:rPr>
          <w:rFonts w:ascii="Bookman Old Style" w:hAnsi="Bookman Old Style"/>
          <w:i/>
          <w:lang w:val="uk-UA"/>
        </w:rPr>
      </w:pPr>
      <w:r w:rsidRPr="008F1DFB">
        <w:rPr>
          <w:rFonts w:ascii="Bookman Old Style" w:hAnsi="Bookman Old Style"/>
          <w:i/>
          <w:lang w:val="uk-UA"/>
        </w:rPr>
        <w:t>РА «Стандарт-Рейтинг» (Укра</w:t>
      </w:r>
      <w:r w:rsidR="00653C86" w:rsidRPr="008F1DFB">
        <w:rPr>
          <w:rFonts w:ascii="Bookman Old Style" w:hAnsi="Bookman Old Style"/>
          <w:i/>
          <w:lang w:val="uk-UA"/>
        </w:rPr>
        <w:t>ї</w:t>
      </w:r>
      <w:r w:rsidRPr="008F1DFB">
        <w:rPr>
          <w:rFonts w:ascii="Bookman Old Style" w:hAnsi="Bookman Old Style"/>
          <w:i/>
          <w:lang w:val="uk-UA"/>
        </w:rPr>
        <w:t>на)</w:t>
      </w:r>
    </w:p>
    <w:sectPr w:rsidR="008A33DA" w:rsidRPr="001F7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746" w:bottom="113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9D" w:rsidRDefault="00645B9D">
      <w:r>
        <w:separator/>
      </w:r>
    </w:p>
  </w:endnote>
  <w:endnote w:type="continuationSeparator" w:id="0">
    <w:p w:rsidR="00645B9D" w:rsidRDefault="006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2B" w:rsidRDefault="007748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C" w:rsidRDefault="00AD341C">
    <w:pPr>
      <w:pStyle w:val="a9"/>
      <w:ind w:right="360"/>
      <w:rPr>
        <w:rFonts w:ascii="Arial Narrow" w:hAnsi="Arial Narrow"/>
        <w:sz w:val="16"/>
        <w:szCs w:val="16"/>
        <w:lang w:val="en-US"/>
      </w:rPr>
    </w:pPr>
  </w:p>
  <w:p w:rsidR="00AD341C" w:rsidRDefault="00AD341C">
    <w:pPr>
      <w:pStyle w:val="a9"/>
      <w:ind w:right="360"/>
      <w:jc w:val="center"/>
      <w:rPr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2B" w:rsidRDefault="007748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9D" w:rsidRDefault="00645B9D">
      <w:r>
        <w:separator/>
      </w:r>
    </w:p>
  </w:footnote>
  <w:footnote w:type="continuationSeparator" w:id="0">
    <w:p w:rsidR="00645B9D" w:rsidRDefault="0064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2B" w:rsidRDefault="007748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C" w:rsidRDefault="00AD341C">
    <w:pPr>
      <w:pStyle w:val="a8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2B" w:rsidRDefault="007748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E7"/>
    <w:rsid w:val="000041FE"/>
    <w:rsid w:val="000064D9"/>
    <w:rsid w:val="00030ED4"/>
    <w:rsid w:val="000319AA"/>
    <w:rsid w:val="000351FC"/>
    <w:rsid w:val="00035390"/>
    <w:rsid w:val="000A3FCC"/>
    <w:rsid w:val="000B5719"/>
    <w:rsid w:val="000C0D1C"/>
    <w:rsid w:val="000F3E33"/>
    <w:rsid w:val="0010348E"/>
    <w:rsid w:val="00112399"/>
    <w:rsid w:val="00166A6B"/>
    <w:rsid w:val="00166C54"/>
    <w:rsid w:val="001B56A7"/>
    <w:rsid w:val="001B76AA"/>
    <w:rsid w:val="001F023B"/>
    <w:rsid w:val="001F7C34"/>
    <w:rsid w:val="00207316"/>
    <w:rsid w:val="00246C44"/>
    <w:rsid w:val="00277621"/>
    <w:rsid w:val="00284D85"/>
    <w:rsid w:val="002908CB"/>
    <w:rsid w:val="002C431B"/>
    <w:rsid w:val="002F7A1E"/>
    <w:rsid w:val="003031F8"/>
    <w:rsid w:val="00343096"/>
    <w:rsid w:val="003469D6"/>
    <w:rsid w:val="0035019B"/>
    <w:rsid w:val="0036033A"/>
    <w:rsid w:val="0037381C"/>
    <w:rsid w:val="003E410F"/>
    <w:rsid w:val="00406F30"/>
    <w:rsid w:val="004142D0"/>
    <w:rsid w:val="00445894"/>
    <w:rsid w:val="0047505B"/>
    <w:rsid w:val="00480970"/>
    <w:rsid w:val="004A4A5B"/>
    <w:rsid w:val="005513A9"/>
    <w:rsid w:val="005931A8"/>
    <w:rsid w:val="005C683A"/>
    <w:rsid w:val="005E3C40"/>
    <w:rsid w:val="005F6D7B"/>
    <w:rsid w:val="00645B9D"/>
    <w:rsid w:val="0064668C"/>
    <w:rsid w:val="00646C46"/>
    <w:rsid w:val="00653C86"/>
    <w:rsid w:val="00661DAC"/>
    <w:rsid w:val="006B055D"/>
    <w:rsid w:val="006B7C09"/>
    <w:rsid w:val="006C2555"/>
    <w:rsid w:val="006C4CEF"/>
    <w:rsid w:val="00714178"/>
    <w:rsid w:val="00732AE2"/>
    <w:rsid w:val="00772545"/>
    <w:rsid w:val="0077482B"/>
    <w:rsid w:val="0078042C"/>
    <w:rsid w:val="007806C4"/>
    <w:rsid w:val="007B6015"/>
    <w:rsid w:val="007E12DF"/>
    <w:rsid w:val="007E3A1A"/>
    <w:rsid w:val="007F718B"/>
    <w:rsid w:val="008264E7"/>
    <w:rsid w:val="00831A58"/>
    <w:rsid w:val="008427F0"/>
    <w:rsid w:val="0087693C"/>
    <w:rsid w:val="008A33DA"/>
    <w:rsid w:val="008B365C"/>
    <w:rsid w:val="008E3777"/>
    <w:rsid w:val="008F1DFB"/>
    <w:rsid w:val="008F58B4"/>
    <w:rsid w:val="00926766"/>
    <w:rsid w:val="00931C56"/>
    <w:rsid w:val="00934C67"/>
    <w:rsid w:val="00947D2A"/>
    <w:rsid w:val="00947DCC"/>
    <w:rsid w:val="00952A1E"/>
    <w:rsid w:val="00970002"/>
    <w:rsid w:val="00971A60"/>
    <w:rsid w:val="00971E26"/>
    <w:rsid w:val="009C69C9"/>
    <w:rsid w:val="009E2241"/>
    <w:rsid w:val="009F3AF2"/>
    <w:rsid w:val="00A07F3B"/>
    <w:rsid w:val="00A56E51"/>
    <w:rsid w:val="00A66192"/>
    <w:rsid w:val="00A67CE1"/>
    <w:rsid w:val="00A738E7"/>
    <w:rsid w:val="00A76187"/>
    <w:rsid w:val="00A83761"/>
    <w:rsid w:val="00A87596"/>
    <w:rsid w:val="00AA12BA"/>
    <w:rsid w:val="00AD2BC2"/>
    <w:rsid w:val="00AD341C"/>
    <w:rsid w:val="00B20D59"/>
    <w:rsid w:val="00B26C1D"/>
    <w:rsid w:val="00B31788"/>
    <w:rsid w:val="00B504D9"/>
    <w:rsid w:val="00B57BD0"/>
    <w:rsid w:val="00B6202F"/>
    <w:rsid w:val="00B71689"/>
    <w:rsid w:val="00B87144"/>
    <w:rsid w:val="00C13725"/>
    <w:rsid w:val="00C17CEC"/>
    <w:rsid w:val="00C20FA1"/>
    <w:rsid w:val="00C21B1C"/>
    <w:rsid w:val="00C56767"/>
    <w:rsid w:val="00C67266"/>
    <w:rsid w:val="00C7350F"/>
    <w:rsid w:val="00C848A8"/>
    <w:rsid w:val="00C84C16"/>
    <w:rsid w:val="00C94C39"/>
    <w:rsid w:val="00CA7A0A"/>
    <w:rsid w:val="00CF30BB"/>
    <w:rsid w:val="00CF70DB"/>
    <w:rsid w:val="00D06E8D"/>
    <w:rsid w:val="00D278DF"/>
    <w:rsid w:val="00D33F03"/>
    <w:rsid w:val="00D34583"/>
    <w:rsid w:val="00D44318"/>
    <w:rsid w:val="00D74188"/>
    <w:rsid w:val="00D85DE9"/>
    <w:rsid w:val="00D86011"/>
    <w:rsid w:val="00DB317F"/>
    <w:rsid w:val="00DB7348"/>
    <w:rsid w:val="00DE709C"/>
    <w:rsid w:val="00DE78F7"/>
    <w:rsid w:val="00E0439B"/>
    <w:rsid w:val="00E3614E"/>
    <w:rsid w:val="00E42A5E"/>
    <w:rsid w:val="00E7692A"/>
    <w:rsid w:val="00E920FD"/>
    <w:rsid w:val="00EA5D81"/>
    <w:rsid w:val="00EC5D19"/>
    <w:rsid w:val="00ED43B8"/>
    <w:rsid w:val="00ED75D1"/>
    <w:rsid w:val="00EF1C5E"/>
    <w:rsid w:val="00F1424B"/>
    <w:rsid w:val="00F31F45"/>
    <w:rsid w:val="00F55912"/>
    <w:rsid w:val="00F55FC7"/>
    <w:rsid w:val="00F65E02"/>
    <w:rsid w:val="00FC3441"/>
    <w:rsid w:val="00FE4CD8"/>
    <w:rsid w:val="00FE540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annotation text"/>
    <w:basedOn w:val="a"/>
    <w:link w:val="af"/>
    <w:rsid w:val="00277621"/>
    <w:rPr>
      <w:sz w:val="20"/>
      <w:szCs w:val="20"/>
    </w:rPr>
  </w:style>
  <w:style w:type="character" w:customStyle="1" w:styleId="af">
    <w:name w:val="Текст примечания Знак"/>
    <w:link w:val="ae"/>
    <w:rsid w:val="00277621"/>
    <w:rPr>
      <w:lang w:val="ru-RU" w:eastAsia="ar-SA"/>
    </w:rPr>
  </w:style>
  <w:style w:type="paragraph" w:styleId="af0">
    <w:name w:val="annotation subject"/>
    <w:basedOn w:val="ae"/>
    <w:next w:val="ae"/>
    <w:link w:val="af1"/>
    <w:rsid w:val="00277621"/>
    <w:pPr>
      <w:suppressAutoHyphens w:val="0"/>
    </w:pPr>
    <w:rPr>
      <w:b/>
      <w:bCs/>
      <w:lang w:eastAsia="ru-RU"/>
    </w:rPr>
  </w:style>
  <w:style w:type="character" w:customStyle="1" w:styleId="af1">
    <w:name w:val="Тема примечания Знак"/>
    <w:link w:val="af0"/>
    <w:rsid w:val="00277621"/>
    <w:rPr>
      <w:b/>
      <w:bCs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27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2020-11-04T15:31:00Z</dcterms:created>
  <dcterms:modified xsi:type="dcterms:W3CDTF">2020-11-04T15:32:00Z</dcterms:modified>
</cp:coreProperties>
</file>